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0F9E5" w14:textId="53CFE0FF" w:rsidR="00313665" w:rsidRPr="00313665" w:rsidRDefault="005F0482" w:rsidP="00313665">
      <w:pPr>
        <w:pStyle w:val="BodyText"/>
        <w:spacing w:before="243" w:line="232" w:lineRule="auto"/>
        <w:ind w:right="175"/>
        <w:jc w:val="both"/>
        <w:rPr>
          <w:b/>
          <w:bCs/>
        </w:rPr>
      </w:pPr>
      <w:r>
        <w:rPr>
          <w:b/>
          <w:bCs/>
        </w:rPr>
        <w:t xml:space="preserve">FACILITIES and RESOURCES: </w:t>
      </w:r>
      <w:r w:rsidR="00313665" w:rsidRPr="00313665">
        <w:rPr>
          <w:b/>
          <w:bCs/>
        </w:rPr>
        <w:t>UNIVERSITY OF SOUTH CAROLINA COLLEGE OF PHARMACY</w:t>
      </w:r>
    </w:p>
    <w:p w14:paraId="605FBFB9" w14:textId="77777777" w:rsidR="00313665" w:rsidRPr="00313665" w:rsidRDefault="00313665" w:rsidP="00313665">
      <w:pPr>
        <w:pStyle w:val="BodyText"/>
        <w:spacing w:before="243" w:line="232" w:lineRule="auto"/>
        <w:ind w:right="175"/>
        <w:jc w:val="both"/>
      </w:pPr>
      <w:r w:rsidRPr="00313665">
        <w:rPr>
          <w:b/>
          <w:bCs/>
        </w:rPr>
        <w:t>College of Pharmacy.</w:t>
      </w:r>
      <w:r w:rsidRPr="00313665">
        <w:t xml:space="preserve"> Founded in 1866, the University of South Carolina College of Pharmacy (COP) was among the first state-supported pharmacy schools in the nation and today provides a comprehensive environment for pharmacy education, biomedical research, clinical scholarship, and translational science. The College's Doctor of Pharmacy program is accredited by the Accreditation Council for Pharmacy Education (ACPE), and College programs and resources have additional relevant professional accreditations. The College's vision is to empower students, researchers, educators, and partners to transform health care through comprehensive pharmacy education, scholarly excellence, strategic collaborations, and entrepreneurial advancement. This environment supports the College's mission to prepare innovative pharmacists and health scientists while advancing clinical, translational, population-based, and basic biomedical research to improve health in South Carolina and beyond.</w:t>
      </w:r>
    </w:p>
    <w:p w14:paraId="544B0DDF" w14:textId="77777777" w:rsidR="00313665" w:rsidRPr="00313665" w:rsidRDefault="00313665" w:rsidP="00313665">
      <w:pPr>
        <w:pStyle w:val="BodyText"/>
        <w:spacing w:before="243" w:line="232" w:lineRule="auto"/>
        <w:ind w:right="175"/>
        <w:jc w:val="both"/>
      </w:pPr>
      <w:r w:rsidRPr="00313665">
        <w:rPr>
          <w:b/>
          <w:bCs/>
        </w:rPr>
        <w:t>Academic and Training Environment.</w:t>
      </w:r>
      <w:r w:rsidRPr="00313665">
        <w:t xml:space="preserve"> COP provides an integrated educational and research environment spanning undergraduate, professional, graduate, and postgraduate training. Programs include the B.S. in Pharmaceutical Sciences, Doctor of Pharmacy (Pharm.D.), graduate research training, certificate and professional development programs, and postgraduate residency and fellowship opportunities. This breadth provides investigators with access to undergraduate, professional, graduate, and postgraduate trainees and creates opportunities for multidisciplinary research and research workforce development.</w:t>
      </w:r>
    </w:p>
    <w:p w14:paraId="5E6012E7" w14:textId="77777777" w:rsidR="00313665" w:rsidRPr="00313665" w:rsidRDefault="00313665" w:rsidP="00313665">
      <w:pPr>
        <w:pStyle w:val="BodyText"/>
        <w:spacing w:before="243" w:line="232" w:lineRule="auto"/>
        <w:ind w:right="175"/>
        <w:jc w:val="both"/>
      </w:pPr>
      <w:r w:rsidRPr="00313665">
        <w:rPr>
          <w:b/>
          <w:bCs/>
        </w:rPr>
        <w:t>Academic Departments.</w:t>
      </w:r>
      <w:r w:rsidRPr="00313665">
        <w:t xml:space="preserve"> COP is organized into two academic departments: the </w:t>
      </w:r>
      <w:r w:rsidRPr="00313665">
        <w:rPr>
          <w:b/>
          <w:bCs/>
        </w:rPr>
        <w:t>Department of Drug Discovery and Biomedical Sciences (DDBS)</w:t>
      </w:r>
      <w:r w:rsidRPr="00313665">
        <w:t xml:space="preserve"> and the </w:t>
      </w:r>
      <w:r w:rsidRPr="00313665">
        <w:rPr>
          <w:b/>
          <w:bCs/>
        </w:rPr>
        <w:t>Department of Clinical Pharmacy and Outcomes Sciences (CPOS)</w:t>
      </w:r>
      <w:r w:rsidRPr="00313665">
        <w:t>. DDBS provides expertise in basic, biomedical, pharmaceutical, and translational sciences, while CPOS provides complementary expertise in clinical pharmacy, health outcomes, medication safety, pharmacoepidemiology, pharmacoeconomics, health policy, and related areas. Together, these departments create an environment that facilitates research across the continuum from fundamental discovery and therapeutic development to clinical application and population health.</w:t>
      </w:r>
    </w:p>
    <w:p w14:paraId="26C22187" w14:textId="77777777" w:rsidR="00313665" w:rsidRPr="00313665" w:rsidRDefault="00313665" w:rsidP="00313665">
      <w:pPr>
        <w:pStyle w:val="BodyText"/>
        <w:spacing w:before="243" w:line="232" w:lineRule="auto"/>
        <w:ind w:right="175"/>
        <w:jc w:val="both"/>
      </w:pPr>
      <w:r w:rsidRPr="00313665">
        <w:rPr>
          <w:b/>
          <w:bCs/>
        </w:rPr>
        <w:t>Research Capacity.</w:t>
      </w:r>
      <w:r w:rsidRPr="00313665">
        <w:t xml:space="preserve"> COP has a large and rapidly expanding research enterprise encompassing cancer, neuroscience, addiction and behavior, data science, drug discovery and repurposing, medication safety, rural health and health disparities, infectious disease, metabolic dysregulation and obesity, pharmacoeconomics, and related biomedical and pharmaceutical sciences. Dedicated College research staff provide investigators with pre-award and post-award support, including proposal development, budget preparation, submission assistance, award administration, and fiscal management. These resources allow investigators to concentrate on scientific activities while receiving centralized administrative support throughout the grant lifecycle.</w:t>
      </w:r>
    </w:p>
    <w:p w14:paraId="008D0A52" w14:textId="77777777" w:rsidR="00313665" w:rsidRPr="00517914" w:rsidRDefault="00313665" w:rsidP="00313665">
      <w:pPr>
        <w:pStyle w:val="BodyText"/>
        <w:spacing w:before="243" w:line="232" w:lineRule="auto"/>
        <w:ind w:right="175"/>
        <w:jc w:val="both"/>
      </w:pPr>
      <w:r w:rsidRPr="00313665">
        <w:t xml:space="preserve">The strength and trajectory of this </w:t>
      </w:r>
      <w:r w:rsidRPr="00517914">
        <w:t>research environment are demonstrated by the College's recent growth in competitive research support. Based on AACP funding data reported by USC in 2025, COP received $15.4 million in total external research funding in FY2024, including $14.9 million in federal funding and $14.5 million from NIH. Federal research funding increased 255% over five years, from $4.2 million to $14.9 million, while total research funding increased 185% since 2020, from $5.4 million to $15.4 million. COP ranked 20th nationally in federal research funding, 29th in total external research funding, and third in the SEC for NIH awards, demonstrating substantial institutional capacity to support federally funded biomedical research.</w:t>
      </w:r>
    </w:p>
    <w:p w14:paraId="3DD189D6" w14:textId="77777777" w:rsidR="00313665" w:rsidRPr="00313665" w:rsidRDefault="00313665" w:rsidP="00313665">
      <w:pPr>
        <w:pStyle w:val="BodyText"/>
        <w:spacing w:before="243" w:line="232" w:lineRule="auto"/>
        <w:ind w:right="175"/>
        <w:jc w:val="both"/>
      </w:pPr>
      <w:r w:rsidRPr="00313665">
        <w:rPr>
          <w:b/>
          <w:bCs/>
        </w:rPr>
        <w:t>Research Centers and Programs.</w:t>
      </w:r>
      <w:r w:rsidRPr="00313665">
        <w:t xml:space="preserve"> COP houses a complementary group of established research and practice centers that extend its scientific, translational, clinical, and community capabilities. These include the </w:t>
      </w:r>
      <w:r w:rsidRPr="00313665">
        <w:rPr>
          <w:b/>
          <w:bCs/>
        </w:rPr>
        <w:t>COBRE Center for Targeted Therapeutics</w:t>
      </w:r>
      <w:r w:rsidRPr="00313665">
        <w:t xml:space="preserve">, which promotes interdisciplinary therapeutic discovery and development; the </w:t>
      </w:r>
      <w:r w:rsidRPr="00313665">
        <w:rPr>
          <w:b/>
          <w:bCs/>
        </w:rPr>
        <w:t>Kennedy Pharmacy Innovation Center</w:t>
      </w:r>
      <w:r w:rsidRPr="00313665">
        <w:t xml:space="preserve">, which integrates pharmacy practice, innovation, and entrepreneurship; the </w:t>
      </w:r>
      <w:r w:rsidRPr="00313665">
        <w:rPr>
          <w:b/>
          <w:bCs/>
        </w:rPr>
        <w:t>South Carolina Poison Center</w:t>
      </w:r>
      <w:r w:rsidRPr="00313665">
        <w:t xml:space="preserve">, which provides statewide toxicology expertise and 24/7 poison management and </w:t>
      </w:r>
      <w:r w:rsidRPr="00313665">
        <w:lastRenderedPageBreak/>
        <w:t xml:space="preserve">prevention services; and the </w:t>
      </w:r>
      <w:r w:rsidRPr="00313665">
        <w:rPr>
          <w:b/>
          <w:bCs/>
        </w:rPr>
        <w:t>Peromyscus Genetic Stock Center</w:t>
      </w:r>
      <w:r w:rsidRPr="00313665">
        <w:t xml:space="preserve">, a nationally distinctive biomedical research resource that maintains and distributes </w:t>
      </w:r>
      <w:r w:rsidRPr="00313665">
        <w:rPr>
          <w:i/>
          <w:iCs/>
        </w:rPr>
        <w:t>Peromyscus</w:t>
      </w:r>
      <w:r w:rsidRPr="00313665">
        <w:t xml:space="preserve"> (deer mice), tissues, and related biological materials to investigators. The Peromyscus Genetic Stock Center is the largest supplier of these animals for medical research in the United States and provides additional expertise in protocol development and related research services.</w:t>
      </w:r>
    </w:p>
    <w:p w14:paraId="2AA1AA5D" w14:textId="77777777" w:rsidR="00313665" w:rsidRPr="00313665" w:rsidRDefault="00313665" w:rsidP="00313665">
      <w:pPr>
        <w:pStyle w:val="BodyText"/>
        <w:spacing w:before="243" w:line="232" w:lineRule="auto"/>
        <w:ind w:right="175"/>
        <w:jc w:val="both"/>
      </w:pPr>
      <w:r w:rsidRPr="00313665">
        <w:t xml:space="preserve">COP also supports the </w:t>
      </w:r>
      <w:r w:rsidRPr="00313665">
        <w:rPr>
          <w:b/>
          <w:bCs/>
        </w:rPr>
        <w:t>Center for Outcomes Research and Education (CORE)</w:t>
      </w:r>
      <w:r w:rsidRPr="00313665">
        <w:t>, which provides expertise in data analysis, pharmacoeconomics, pharmacoepidemiology, health policy, and health outcomes research. Collectively, these centers provide investigators with access to specialized expertise, research populations and models, translational capabilities, clinical and population-level resources, and collaborative research networks.</w:t>
      </w:r>
    </w:p>
    <w:p w14:paraId="17118C00" w14:textId="77777777" w:rsidR="00313665" w:rsidRPr="00313665" w:rsidRDefault="00313665" w:rsidP="00313665">
      <w:pPr>
        <w:pStyle w:val="BodyText"/>
        <w:spacing w:before="243" w:line="232" w:lineRule="auto"/>
        <w:ind w:right="175"/>
        <w:jc w:val="both"/>
      </w:pPr>
      <w:r w:rsidRPr="00313665">
        <w:rPr>
          <w:b/>
          <w:bCs/>
        </w:rPr>
        <w:t>SmartState Centers.</w:t>
      </w:r>
      <w:r w:rsidRPr="00313665">
        <w:t xml:space="preserve"> The College is home to two South Carolina SmartState Centers of Economic Excellence: the </w:t>
      </w:r>
      <w:r w:rsidRPr="00313665">
        <w:rPr>
          <w:b/>
          <w:bCs/>
        </w:rPr>
        <w:t>SmartState Center for Translational Cancer Therapeutics</w:t>
      </w:r>
      <w:r w:rsidRPr="00313665">
        <w:t xml:space="preserve"> and the </w:t>
      </w:r>
      <w:r w:rsidRPr="00313665">
        <w:rPr>
          <w:b/>
          <w:bCs/>
        </w:rPr>
        <w:t>SmartState Center for Medication Safety</w:t>
      </w:r>
      <w:r w:rsidRPr="00313665">
        <w:t>. The Center for Translational Cancer Therapeutics supports discovery of therapeutic targets and development of novel approaches to cancer treatment. The Center for Medication Safety focuses on the effects and safe use of prescription and over-the-counter medications, including their effects in vulnerable populations. These centers strengthen COP's ability to recruit and retain nationally competitive investigators and facilitate translation of research discoveries into improvements in health and economic development.</w:t>
      </w:r>
    </w:p>
    <w:p w14:paraId="1734AA27" w14:textId="77777777" w:rsidR="00313665" w:rsidRPr="00313665" w:rsidRDefault="00313665" w:rsidP="00313665">
      <w:pPr>
        <w:pStyle w:val="BodyText"/>
        <w:spacing w:before="243" w:line="232" w:lineRule="auto"/>
        <w:ind w:right="175"/>
        <w:jc w:val="both"/>
      </w:pPr>
      <w:r w:rsidRPr="00313665">
        <w:rPr>
          <w:b/>
          <w:bCs/>
        </w:rPr>
        <w:t>Shared Research Facilities and Resources.</w:t>
      </w:r>
      <w:r w:rsidRPr="00313665">
        <w:t xml:space="preserve"> COP maintains shared research resources that provide investigators with specialized capabilities and technical expertise without requiring duplication within individual laboratories. These include the </w:t>
      </w:r>
      <w:r w:rsidRPr="00313665">
        <w:rPr>
          <w:b/>
          <w:bCs/>
        </w:rPr>
        <w:t>Functional Genomics Core</w:t>
      </w:r>
      <w:r w:rsidRPr="00313665">
        <w:t xml:space="preserve">, supporting genomics, transcriptomics, epigenomics, and related molecular analyses; the </w:t>
      </w:r>
      <w:r w:rsidRPr="00313665">
        <w:rPr>
          <w:b/>
          <w:bCs/>
        </w:rPr>
        <w:t>Drug Design and Synthesis Core Facility</w:t>
      </w:r>
      <w:r w:rsidRPr="00313665">
        <w:t xml:space="preserve">, supporting rational drug design, screening, medicinal chemistry, and chemical synthesis; and the </w:t>
      </w:r>
      <w:r w:rsidRPr="00313665">
        <w:rPr>
          <w:b/>
          <w:bCs/>
        </w:rPr>
        <w:t>Microscopy and Flow Cytometry Core Facility</w:t>
      </w:r>
      <w:r w:rsidRPr="00313665">
        <w:t>, which provides biological imaging, microscopy, flow cytometry, quantitative PCR, consultation, training, and technical services. These resources are available to College investigators and collaborators and provide an established infrastructure for multidisciplinary biomedical and pharmaceutical research.</w:t>
      </w:r>
    </w:p>
    <w:p w14:paraId="5A705EF3" w14:textId="77777777" w:rsidR="00313665" w:rsidRPr="00313665" w:rsidRDefault="00313665" w:rsidP="00313665">
      <w:pPr>
        <w:pStyle w:val="BodyText"/>
        <w:spacing w:before="243" w:line="232" w:lineRule="auto"/>
        <w:ind w:right="175"/>
        <w:jc w:val="both"/>
      </w:pPr>
      <w:r w:rsidRPr="00313665">
        <w:rPr>
          <w:b/>
          <w:bCs/>
        </w:rPr>
        <w:t>Research and Office Space.</w:t>
      </w:r>
      <w:r w:rsidRPr="00313665">
        <w:t xml:space="preserve"> COP faculty have dedicated office and research space appropriate to their academic and research activities. Faculty offices are equipped with networked computers, university-supported software, secure internet access, telecommunications, printing, and administrative support. Research-active faculty are provided laboratory and associated research space appropriate to their programs, with additional space and shared resources allocated as necessary to support externally funded projects. The proximity of investigators, trainees, laboratories, research centers, and shared resources facilitates interaction and collaborative research.</w:t>
      </w:r>
    </w:p>
    <w:p w14:paraId="23F786BE" w14:textId="77777777" w:rsidR="00313665" w:rsidRPr="00313665" w:rsidRDefault="00313665" w:rsidP="00313665">
      <w:pPr>
        <w:pStyle w:val="BodyText"/>
        <w:spacing w:before="243" w:line="232" w:lineRule="auto"/>
        <w:ind w:right="175"/>
        <w:jc w:val="both"/>
      </w:pPr>
      <w:r w:rsidRPr="00313665">
        <w:rPr>
          <w:b/>
          <w:bCs/>
        </w:rPr>
        <w:t>Computing and Data Resources.</w:t>
      </w:r>
      <w:r w:rsidRPr="00313665">
        <w:t xml:space="preserve"> COP investigators have access to College- and university-supported computing, data storage, statistical, bioinformatics, and research cyberinfrastructure. Individual laboratories maintain computing resources appropriate to their research programs, while investigators requiring computationally intensive analyses have access to USC's centralized research computing infrastructure. University resources provide high-performance computing, secure data storage and transfer, research software, networking, and technical support for computationally intensive applications including genomics, bioinformatics, data science, modeling, and large-scale data analysis. Investigators also have electronic access to USC Libraries, including extensive biomedical and pharmaceutical journal, database, and information resources.</w:t>
      </w:r>
    </w:p>
    <w:p w14:paraId="69F8E12A" w14:textId="77777777" w:rsidR="00313665" w:rsidRPr="00313665" w:rsidRDefault="00313665" w:rsidP="00313665">
      <w:pPr>
        <w:pStyle w:val="BodyText"/>
        <w:spacing w:before="243" w:line="232" w:lineRule="auto"/>
        <w:ind w:right="175"/>
        <w:jc w:val="both"/>
      </w:pPr>
      <w:r w:rsidRPr="00313665">
        <w:rPr>
          <w:b/>
          <w:bCs/>
        </w:rPr>
        <w:t>Research Professional Development.</w:t>
      </w:r>
      <w:r w:rsidRPr="00313665">
        <w:t xml:space="preserve"> The College provides structured resources to support development of investigators and research personnel. COP hosts the </w:t>
      </w:r>
      <w:r w:rsidRPr="00313665">
        <w:rPr>
          <w:b/>
          <w:bCs/>
        </w:rPr>
        <w:t>professional development core of ClinTrUSC</w:t>
      </w:r>
      <w:r w:rsidRPr="00313665">
        <w:t xml:space="preserve">, led by </w:t>
      </w:r>
      <w:r w:rsidRPr="00313665">
        <w:rPr>
          <w:b/>
          <w:bCs/>
        </w:rPr>
        <w:t>Dr. Lorne Hofseth</w:t>
      </w:r>
      <w:r w:rsidRPr="00313665">
        <w:t xml:space="preserve">, which provides an additional institutional mechanism for strengthening research skills, professional development, collaboration, and progression toward research independence. This resource complements College mentoring, grant-development support, seminars, collaborative research activities, and </w:t>
      </w:r>
      <w:r w:rsidRPr="00313665">
        <w:lastRenderedPageBreak/>
        <w:t>other investigator-development programs.</w:t>
      </w:r>
    </w:p>
    <w:p w14:paraId="0BE306AA" w14:textId="77777777" w:rsidR="00313665" w:rsidRPr="00313665" w:rsidRDefault="00313665" w:rsidP="00313665">
      <w:pPr>
        <w:pStyle w:val="BodyText"/>
        <w:spacing w:before="243" w:line="232" w:lineRule="auto"/>
        <w:ind w:right="175"/>
        <w:jc w:val="both"/>
      </w:pPr>
      <w:r w:rsidRPr="00313665">
        <w:rPr>
          <w:b/>
          <w:bCs/>
        </w:rPr>
        <w:t>Intra-University Collaboration.</w:t>
      </w:r>
      <w:r w:rsidRPr="00313665">
        <w:t xml:space="preserve"> COP is embedded within USC's broader health sciences and biomedical research environment and maintains extensive collaborations with the </w:t>
      </w:r>
      <w:r w:rsidRPr="00313665">
        <w:rPr>
          <w:b/>
          <w:bCs/>
        </w:rPr>
        <w:t>Arnold School of Public Health, College of Nursing, School of Medicine Columbia, College of Social Work, and School of Medicine Greenville</w:t>
      </w:r>
      <w:r w:rsidRPr="00313665">
        <w:t>, as well as investigators in other colleges, centers, and institutes across the university. These relationships support interdisciplinary research, training, clinical and translational investigation, community engagement, and development of multi-investigator and multi-unit research programs. COP investigators can therefore draw upon expertise and resources extending well beyond the College while maintaining a strong College-based research infrastructure.</w:t>
      </w:r>
    </w:p>
    <w:p w14:paraId="1F836BA5" w14:textId="77777777" w:rsidR="00313665" w:rsidRPr="00313665" w:rsidRDefault="00313665" w:rsidP="00313665">
      <w:pPr>
        <w:pStyle w:val="BodyText"/>
        <w:spacing w:before="243" w:line="232" w:lineRule="auto"/>
        <w:ind w:right="175"/>
        <w:jc w:val="both"/>
      </w:pPr>
      <w:r w:rsidRPr="00313665">
        <w:rPr>
          <w:b/>
          <w:bCs/>
        </w:rPr>
        <w:t>Health Sciences South Carolina.</w:t>
      </w:r>
      <w:r w:rsidRPr="00313665">
        <w:t xml:space="preserve"> USC also participates in </w:t>
      </w:r>
      <w:r w:rsidRPr="00313665">
        <w:rPr>
          <w:b/>
          <w:bCs/>
        </w:rPr>
        <w:t>Health Sciences South Carolina (HSSC)</w:t>
      </w:r>
      <w:r w:rsidRPr="00313665">
        <w:t>, a statewide health data and research collaborative established in 2004 to improve South Carolina's health and economic well-being through research. HSSC connects USC with the Medical University of South Carolina, Clemson University, and major health systems throughout the state, providing an important infrastructure for cross-institutional collaboration, clinical and translational research, health data research, and statewide partnerships. HSSC's relationships with South Carolina's SmartState Centers further connect university research with innovation and economic development.</w:t>
      </w:r>
    </w:p>
    <w:p w14:paraId="0FC56226" w14:textId="77777777" w:rsidR="00313665" w:rsidRPr="00313665" w:rsidRDefault="00313665" w:rsidP="00313665">
      <w:pPr>
        <w:pStyle w:val="BodyText"/>
        <w:spacing w:before="243" w:line="232" w:lineRule="auto"/>
        <w:ind w:right="175"/>
        <w:jc w:val="both"/>
      </w:pPr>
      <w:r w:rsidRPr="00313665">
        <w:rPr>
          <w:b/>
          <w:bCs/>
        </w:rPr>
        <w:t>Overall Research Environment.</w:t>
      </w:r>
      <w:r w:rsidRPr="00313665">
        <w:t xml:space="preserve"> The USC College of Pharmacy combines a rapidly growing federally funded research enterprise with established academic departments, research centers, SmartState Centers, shared research facilities, computational infrastructure, professional research administration, investigator-development programs, and extensive university and statewide collaborations. Importantly, these resources span the full research continuum—from fundamental biomedical discovery and therapeutic development to clinical pharmacy, health outcomes, population health, and implementation. This integrated environment provides investigators with the scientific expertise, research infrastructure, administrative support, collaborative networks, and workforce necessary to successfully conduct rigorous, multidisciplinary, and externally funded biomedical research.</w:t>
      </w:r>
    </w:p>
    <w:p w14:paraId="582B8BCE" w14:textId="77777777" w:rsidR="00313665" w:rsidRDefault="00313665" w:rsidP="00ED33C0">
      <w:pPr>
        <w:pStyle w:val="BodyText"/>
        <w:spacing w:before="243" w:line="232" w:lineRule="auto"/>
        <w:ind w:left="0" w:right="175"/>
      </w:pPr>
    </w:p>
    <w:sectPr w:rsidR="00313665" w:rsidSect="00C825DD">
      <w:pgSz w:w="12240" w:h="15840"/>
      <w:pgMar w:top="136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D0277"/>
    <w:multiLevelType w:val="hybridMultilevel"/>
    <w:tmpl w:val="9F6C6222"/>
    <w:lvl w:ilvl="0" w:tplc="4E242144">
      <w:numFmt w:val="bullet"/>
      <w:lvlText w:val=""/>
      <w:lvlJc w:val="left"/>
      <w:pPr>
        <w:ind w:left="461" w:hanging="361"/>
      </w:pPr>
      <w:rPr>
        <w:rFonts w:ascii="Symbol" w:eastAsia="Symbol" w:hAnsi="Symbol" w:cs="Symbol" w:hint="default"/>
        <w:b w:val="0"/>
        <w:bCs w:val="0"/>
        <w:i w:val="0"/>
        <w:iCs w:val="0"/>
        <w:spacing w:val="0"/>
        <w:w w:val="100"/>
        <w:sz w:val="22"/>
        <w:szCs w:val="22"/>
        <w:lang w:val="en-US" w:eastAsia="en-US" w:bidi="ar-SA"/>
      </w:rPr>
    </w:lvl>
    <w:lvl w:ilvl="1" w:tplc="A516F124">
      <w:numFmt w:val="bullet"/>
      <w:lvlText w:val="•"/>
      <w:lvlJc w:val="left"/>
      <w:pPr>
        <w:ind w:left="1376" w:hanging="361"/>
      </w:pPr>
      <w:rPr>
        <w:rFonts w:hint="default"/>
        <w:lang w:val="en-US" w:eastAsia="en-US" w:bidi="ar-SA"/>
      </w:rPr>
    </w:lvl>
    <w:lvl w:ilvl="2" w:tplc="73C81890">
      <w:numFmt w:val="bullet"/>
      <w:lvlText w:val="•"/>
      <w:lvlJc w:val="left"/>
      <w:pPr>
        <w:ind w:left="2292" w:hanging="361"/>
      </w:pPr>
      <w:rPr>
        <w:rFonts w:hint="default"/>
        <w:lang w:val="en-US" w:eastAsia="en-US" w:bidi="ar-SA"/>
      </w:rPr>
    </w:lvl>
    <w:lvl w:ilvl="3" w:tplc="BBCE77FA">
      <w:numFmt w:val="bullet"/>
      <w:lvlText w:val="•"/>
      <w:lvlJc w:val="left"/>
      <w:pPr>
        <w:ind w:left="3208" w:hanging="361"/>
      </w:pPr>
      <w:rPr>
        <w:rFonts w:hint="default"/>
        <w:lang w:val="en-US" w:eastAsia="en-US" w:bidi="ar-SA"/>
      </w:rPr>
    </w:lvl>
    <w:lvl w:ilvl="4" w:tplc="32044552">
      <w:numFmt w:val="bullet"/>
      <w:lvlText w:val="•"/>
      <w:lvlJc w:val="left"/>
      <w:pPr>
        <w:ind w:left="4124" w:hanging="361"/>
      </w:pPr>
      <w:rPr>
        <w:rFonts w:hint="default"/>
        <w:lang w:val="en-US" w:eastAsia="en-US" w:bidi="ar-SA"/>
      </w:rPr>
    </w:lvl>
    <w:lvl w:ilvl="5" w:tplc="B2F02F14">
      <w:numFmt w:val="bullet"/>
      <w:lvlText w:val="•"/>
      <w:lvlJc w:val="left"/>
      <w:pPr>
        <w:ind w:left="5040" w:hanging="361"/>
      </w:pPr>
      <w:rPr>
        <w:rFonts w:hint="default"/>
        <w:lang w:val="en-US" w:eastAsia="en-US" w:bidi="ar-SA"/>
      </w:rPr>
    </w:lvl>
    <w:lvl w:ilvl="6" w:tplc="652A687E">
      <w:numFmt w:val="bullet"/>
      <w:lvlText w:val="•"/>
      <w:lvlJc w:val="left"/>
      <w:pPr>
        <w:ind w:left="5956" w:hanging="361"/>
      </w:pPr>
      <w:rPr>
        <w:rFonts w:hint="default"/>
        <w:lang w:val="en-US" w:eastAsia="en-US" w:bidi="ar-SA"/>
      </w:rPr>
    </w:lvl>
    <w:lvl w:ilvl="7" w:tplc="19843154">
      <w:numFmt w:val="bullet"/>
      <w:lvlText w:val="•"/>
      <w:lvlJc w:val="left"/>
      <w:pPr>
        <w:ind w:left="6872" w:hanging="361"/>
      </w:pPr>
      <w:rPr>
        <w:rFonts w:hint="default"/>
        <w:lang w:val="en-US" w:eastAsia="en-US" w:bidi="ar-SA"/>
      </w:rPr>
    </w:lvl>
    <w:lvl w:ilvl="8" w:tplc="CC80F29E">
      <w:numFmt w:val="bullet"/>
      <w:lvlText w:val="•"/>
      <w:lvlJc w:val="left"/>
      <w:pPr>
        <w:ind w:left="7788" w:hanging="361"/>
      </w:pPr>
      <w:rPr>
        <w:rFonts w:hint="default"/>
        <w:lang w:val="en-US" w:eastAsia="en-US" w:bidi="ar-SA"/>
      </w:rPr>
    </w:lvl>
  </w:abstractNum>
  <w:abstractNum w:abstractNumId="1" w15:restartNumberingAfterBreak="0">
    <w:nsid w:val="374044E7"/>
    <w:multiLevelType w:val="multilevel"/>
    <w:tmpl w:val="07DE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476770">
    <w:abstractNumId w:val="0"/>
  </w:num>
  <w:num w:numId="2" w16cid:durableId="1907379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DD"/>
    <w:rsid w:val="000230A6"/>
    <w:rsid w:val="000323C2"/>
    <w:rsid w:val="00051B0F"/>
    <w:rsid w:val="000743A6"/>
    <w:rsid w:val="000F03F8"/>
    <w:rsid w:val="0010518D"/>
    <w:rsid w:val="00121E5A"/>
    <w:rsid w:val="00164CB2"/>
    <w:rsid w:val="001B0E89"/>
    <w:rsid w:val="001F2BC7"/>
    <w:rsid w:val="00256D34"/>
    <w:rsid w:val="00264069"/>
    <w:rsid w:val="002D6EDD"/>
    <w:rsid w:val="00313665"/>
    <w:rsid w:val="00387C7E"/>
    <w:rsid w:val="003948B9"/>
    <w:rsid w:val="00425F5D"/>
    <w:rsid w:val="004B42CC"/>
    <w:rsid w:val="004C0826"/>
    <w:rsid w:val="004C526E"/>
    <w:rsid w:val="00517914"/>
    <w:rsid w:val="00533B61"/>
    <w:rsid w:val="005F0482"/>
    <w:rsid w:val="00613CA2"/>
    <w:rsid w:val="00626DCF"/>
    <w:rsid w:val="006272D9"/>
    <w:rsid w:val="00660573"/>
    <w:rsid w:val="006A70F3"/>
    <w:rsid w:val="00740208"/>
    <w:rsid w:val="007450DE"/>
    <w:rsid w:val="007C0ED1"/>
    <w:rsid w:val="007D41DB"/>
    <w:rsid w:val="00820744"/>
    <w:rsid w:val="008B6206"/>
    <w:rsid w:val="00933361"/>
    <w:rsid w:val="0093449B"/>
    <w:rsid w:val="009762CF"/>
    <w:rsid w:val="00992881"/>
    <w:rsid w:val="009C58E1"/>
    <w:rsid w:val="00A077B0"/>
    <w:rsid w:val="00A242FF"/>
    <w:rsid w:val="00A26B4A"/>
    <w:rsid w:val="00A27F94"/>
    <w:rsid w:val="00B478B3"/>
    <w:rsid w:val="00B63E9A"/>
    <w:rsid w:val="00B66288"/>
    <w:rsid w:val="00BB0689"/>
    <w:rsid w:val="00BB75C2"/>
    <w:rsid w:val="00C273E2"/>
    <w:rsid w:val="00C825DD"/>
    <w:rsid w:val="00CB1ABB"/>
    <w:rsid w:val="00CD02C2"/>
    <w:rsid w:val="00CD0A59"/>
    <w:rsid w:val="00D21B60"/>
    <w:rsid w:val="00DA278A"/>
    <w:rsid w:val="00E12DD1"/>
    <w:rsid w:val="00E97A85"/>
    <w:rsid w:val="00EA013A"/>
    <w:rsid w:val="00ED08AD"/>
    <w:rsid w:val="00ED33C0"/>
    <w:rsid w:val="00F25498"/>
    <w:rsid w:val="00F45895"/>
    <w:rsid w:val="00F6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3653"/>
  <w15:chartTrackingRefBased/>
  <w15:docId w15:val="{2CBF808B-8FA2-40DB-8A57-AB825A20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DD"/>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C82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5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5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5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5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5DD"/>
    <w:rPr>
      <w:rFonts w:eastAsiaTheme="majorEastAsia" w:cstheme="majorBidi"/>
      <w:color w:val="272727" w:themeColor="text1" w:themeTint="D8"/>
    </w:rPr>
  </w:style>
  <w:style w:type="paragraph" w:styleId="Title">
    <w:name w:val="Title"/>
    <w:basedOn w:val="Normal"/>
    <w:next w:val="Normal"/>
    <w:link w:val="TitleChar"/>
    <w:uiPriority w:val="10"/>
    <w:qFormat/>
    <w:rsid w:val="00C825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5DD"/>
    <w:pPr>
      <w:spacing w:before="160"/>
      <w:jc w:val="center"/>
    </w:pPr>
    <w:rPr>
      <w:i/>
      <w:iCs/>
      <w:color w:val="404040" w:themeColor="text1" w:themeTint="BF"/>
    </w:rPr>
  </w:style>
  <w:style w:type="character" w:customStyle="1" w:styleId="QuoteChar">
    <w:name w:val="Quote Char"/>
    <w:basedOn w:val="DefaultParagraphFont"/>
    <w:link w:val="Quote"/>
    <w:uiPriority w:val="29"/>
    <w:rsid w:val="00C825DD"/>
    <w:rPr>
      <w:i/>
      <w:iCs/>
      <w:color w:val="404040" w:themeColor="text1" w:themeTint="BF"/>
    </w:rPr>
  </w:style>
  <w:style w:type="paragraph" w:styleId="ListParagraph">
    <w:name w:val="List Paragraph"/>
    <w:basedOn w:val="Normal"/>
    <w:uiPriority w:val="1"/>
    <w:qFormat/>
    <w:rsid w:val="00C825DD"/>
    <w:pPr>
      <w:ind w:left="720"/>
      <w:contextualSpacing/>
    </w:pPr>
  </w:style>
  <w:style w:type="character" w:styleId="IntenseEmphasis">
    <w:name w:val="Intense Emphasis"/>
    <w:basedOn w:val="DefaultParagraphFont"/>
    <w:uiPriority w:val="21"/>
    <w:qFormat/>
    <w:rsid w:val="00C825DD"/>
    <w:rPr>
      <w:i/>
      <w:iCs/>
      <w:color w:val="0F4761" w:themeColor="accent1" w:themeShade="BF"/>
    </w:rPr>
  </w:style>
  <w:style w:type="paragraph" w:styleId="IntenseQuote">
    <w:name w:val="Intense Quote"/>
    <w:basedOn w:val="Normal"/>
    <w:next w:val="Normal"/>
    <w:link w:val="IntenseQuoteChar"/>
    <w:uiPriority w:val="30"/>
    <w:qFormat/>
    <w:rsid w:val="00C82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5DD"/>
    <w:rPr>
      <w:i/>
      <w:iCs/>
      <w:color w:val="0F4761" w:themeColor="accent1" w:themeShade="BF"/>
    </w:rPr>
  </w:style>
  <w:style w:type="character" w:styleId="IntenseReference">
    <w:name w:val="Intense Reference"/>
    <w:basedOn w:val="DefaultParagraphFont"/>
    <w:uiPriority w:val="32"/>
    <w:qFormat/>
    <w:rsid w:val="00C825DD"/>
    <w:rPr>
      <w:b/>
      <w:bCs/>
      <w:smallCaps/>
      <w:color w:val="0F4761" w:themeColor="accent1" w:themeShade="BF"/>
      <w:spacing w:val="5"/>
    </w:rPr>
  </w:style>
  <w:style w:type="paragraph" w:styleId="BodyText">
    <w:name w:val="Body Text"/>
    <w:basedOn w:val="Normal"/>
    <w:link w:val="BodyTextChar"/>
    <w:uiPriority w:val="1"/>
    <w:qFormat/>
    <w:rsid w:val="00C825DD"/>
    <w:pPr>
      <w:spacing w:before="80"/>
      <w:ind w:left="100"/>
    </w:pPr>
  </w:style>
  <w:style w:type="character" w:customStyle="1" w:styleId="BodyTextChar">
    <w:name w:val="Body Text Char"/>
    <w:basedOn w:val="DefaultParagraphFont"/>
    <w:link w:val="BodyText"/>
    <w:uiPriority w:val="1"/>
    <w:rsid w:val="00C825DD"/>
    <w:rPr>
      <w:rFonts w:ascii="Arial" w:eastAsia="Arial" w:hAnsi="Arial" w:cs="Arial"/>
      <w:kern w:val="0"/>
      <w:sz w:val="22"/>
      <w:szCs w:val="22"/>
      <w14:ligatures w14:val="none"/>
    </w:rPr>
  </w:style>
  <w:style w:type="paragraph" w:styleId="NormalWeb">
    <w:name w:val="Normal (Web)"/>
    <w:basedOn w:val="Normal"/>
    <w:uiPriority w:val="99"/>
    <w:semiHidden/>
    <w:unhideWhenUsed/>
    <w:rsid w:val="00626DCF"/>
    <w:rPr>
      <w:rFonts w:ascii="Times New Roman" w:hAnsi="Times New Roman" w:cs="Times New Roman"/>
      <w:sz w:val="24"/>
      <w:szCs w:val="24"/>
    </w:rPr>
  </w:style>
  <w:style w:type="paragraph" w:styleId="Revision">
    <w:name w:val="Revision"/>
    <w:hidden/>
    <w:uiPriority w:val="99"/>
    <w:semiHidden/>
    <w:rsid w:val="000230A6"/>
    <w:pPr>
      <w:spacing w:after="0" w:line="240" w:lineRule="auto"/>
    </w:pPr>
    <w:rPr>
      <w:rFonts w:ascii="Arial" w:eastAsia="Arial" w:hAnsi="Arial" w:cs="Arial"/>
      <w:kern w:val="0"/>
      <w:sz w:val="22"/>
      <w:szCs w:val="22"/>
      <w14:ligatures w14:val="none"/>
    </w:rPr>
  </w:style>
  <w:style w:type="character" w:styleId="CommentReference">
    <w:name w:val="annotation reference"/>
    <w:basedOn w:val="DefaultParagraphFont"/>
    <w:uiPriority w:val="99"/>
    <w:semiHidden/>
    <w:unhideWhenUsed/>
    <w:rsid w:val="0093449B"/>
    <w:rPr>
      <w:sz w:val="16"/>
      <w:szCs w:val="16"/>
    </w:rPr>
  </w:style>
  <w:style w:type="paragraph" w:styleId="CommentText">
    <w:name w:val="annotation text"/>
    <w:basedOn w:val="Normal"/>
    <w:link w:val="CommentTextChar"/>
    <w:uiPriority w:val="99"/>
    <w:unhideWhenUsed/>
    <w:rsid w:val="0093449B"/>
    <w:rPr>
      <w:sz w:val="20"/>
      <w:szCs w:val="20"/>
    </w:rPr>
  </w:style>
  <w:style w:type="character" w:customStyle="1" w:styleId="CommentTextChar">
    <w:name w:val="Comment Text Char"/>
    <w:basedOn w:val="DefaultParagraphFont"/>
    <w:link w:val="CommentText"/>
    <w:uiPriority w:val="99"/>
    <w:rsid w:val="0093449B"/>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3449B"/>
    <w:rPr>
      <w:b/>
      <w:bCs/>
    </w:rPr>
  </w:style>
  <w:style w:type="character" w:customStyle="1" w:styleId="CommentSubjectChar">
    <w:name w:val="Comment Subject Char"/>
    <w:basedOn w:val="CommentTextChar"/>
    <w:link w:val="CommentSubject"/>
    <w:uiPriority w:val="99"/>
    <w:semiHidden/>
    <w:rsid w:val="0093449B"/>
    <w:rPr>
      <w:rFonts w:ascii="Arial" w:eastAsia="Arial" w:hAnsi="Arial" w:cs="Arial"/>
      <w:b/>
      <w:bCs/>
      <w:kern w:val="0"/>
      <w:sz w:val="20"/>
      <w:szCs w:val="20"/>
      <w14:ligatures w14:val="none"/>
    </w:rPr>
  </w:style>
  <w:style w:type="character" w:styleId="Hyperlink">
    <w:name w:val="Hyperlink"/>
    <w:basedOn w:val="DefaultParagraphFont"/>
    <w:rsid w:val="00DA27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47021">
      <w:bodyDiv w:val="1"/>
      <w:marLeft w:val="0"/>
      <w:marRight w:val="0"/>
      <w:marTop w:val="0"/>
      <w:marBottom w:val="0"/>
      <w:divBdr>
        <w:top w:val="none" w:sz="0" w:space="0" w:color="auto"/>
        <w:left w:val="none" w:sz="0" w:space="0" w:color="auto"/>
        <w:bottom w:val="none" w:sz="0" w:space="0" w:color="auto"/>
        <w:right w:val="none" w:sz="0" w:space="0" w:color="auto"/>
      </w:divBdr>
    </w:div>
    <w:div w:id="484973648">
      <w:bodyDiv w:val="1"/>
      <w:marLeft w:val="0"/>
      <w:marRight w:val="0"/>
      <w:marTop w:val="0"/>
      <w:marBottom w:val="0"/>
      <w:divBdr>
        <w:top w:val="none" w:sz="0" w:space="0" w:color="auto"/>
        <w:left w:val="none" w:sz="0" w:space="0" w:color="auto"/>
        <w:bottom w:val="none" w:sz="0" w:space="0" w:color="auto"/>
        <w:right w:val="none" w:sz="0" w:space="0" w:color="auto"/>
      </w:divBdr>
    </w:div>
    <w:div w:id="1019355066">
      <w:bodyDiv w:val="1"/>
      <w:marLeft w:val="0"/>
      <w:marRight w:val="0"/>
      <w:marTop w:val="0"/>
      <w:marBottom w:val="0"/>
      <w:divBdr>
        <w:top w:val="none" w:sz="0" w:space="0" w:color="auto"/>
        <w:left w:val="none" w:sz="0" w:space="0" w:color="auto"/>
        <w:bottom w:val="none" w:sz="0" w:space="0" w:color="auto"/>
        <w:right w:val="none" w:sz="0" w:space="0" w:color="auto"/>
      </w:divBdr>
    </w:div>
    <w:div w:id="1021854913">
      <w:bodyDiv w:val="1"/>
      <w:marLeft w:val="0"/>
      <w:marRight w:val="0"/>
      <w:marTop w:val="0"/>
      <w:marBottom w:val="0"/>
      <w:divBdr>
        <w:top w:val="none" w:sz="0" w:space="0" w:color="auto"/>
        <w:left w:val="none" w:sz="0" w:space="0" w:color="auto"/>
        <w:bottom w:val="none" w:sz="0" w:space="0" w:color="auto"/>
        <w:right w:val="none" w:sz="0" w:space="0" w:color="auto"/>
      </w:divBdr>
    </w:div>
    <w:div w:id="1118598854">
      <w:bodyDiv w:val="1"/>
      <w:marLeft w:val="0"/>
      <w:marRight w:val="0"/>
      <w:marTop w:val="0"/>
      <w:marBottom w:val="0"/>
      <w:divBdr>
        <w:top w:val="none" w:sz="0" w:space="0" w:color="auto"/>
        <w:left w:val="none" w:sz="0" w:space="0" w:color="auto"/>
        <w:bottom w:val="none" w:sz="0" w:space="0" w:color="auto"/>
        <w:right w:val="none" w:sz="0" w:space="0" w:color="auto"/>
      </w:divBdr>
    </w:div>
    <w:div w:id="124414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Roark, Kasie</dc:creator>
  <cp:keywords/>
  <dc:description/>
  <cp:lastModifiedBy>Nelson-Reed, Vanessa</cp:lastModifiedBy>
  <cp:revision>2</cp:revision>
  <dcterms:created xsi:type="dcterms:W3CDTF">2026-08-31T17:21:00Z</dcterms:created>
  <dcterms:modified xsi:type="dcterms:W3CDTF">2026-08-31T17:21:00Z</dcterms:modified>
</cp:coreProperties>
</file>