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573D" w14:textId="27F31EDB" w:rsidR="00230E07" w:rsidRPr="00230E07" w:rsidRDefault="00230E07" w:rsidP="00230E07">
      <w:pPr>
        <w:pStyle w:val="BodyText"/>
        <w:spacing w:before="243" w:line="232" w:lineRule="auto"/>
        <w:ind w:right="175"/>
        <w:jc w:val="both"/>
        <w:rPr>
          <w:b/>
          <w:bCs/>
        </w:rPr>
      </w:pPr>
      <w:r>
        <w:rPr>
          <w:b/>
          <w:bCs/>
        </w:rPr>
        <w:t>E</w:t>
      </w:r>
      <w:r w:rsidRPr="00230E07">
        <w:rPr>
          <w:b/>
          <w:bCs/>
        </w:rPr>
        <w:t>QUIPMENT — UNIVERSITY OF SOUTH CAROLINA COLLEGE OF PHARMACY</w:t>
      </w:r>
    </w:p>
    <w:p w14:paraId="2BF29CBF" w14:textId="77777777" w:rsidR="00230E07" w:rsidRPr="00230E07" w:rsidRDefault="00230E07" w:rsidP="00230E07">
      <w:pPr>
        <w:pStyle w:val="BodyText"/>
        <w:spacing w:before="243" w:line="232" w:lineRule="auto"/>
        <w:ind w:right="175"/>
        <w:jc w:val="both"/>
      </w:pPr>
      <w:r w:rsidRPr="00230E07">
        <w:t xml:space="preserve">The University of South Carolina College of Pharmacy (COP) provides investigators with extensive shared instrumentation and specialized research technologies supporting genomics, functional genomics, molecular and cellular biology, advanced imaging, flow cytometry, drug discovery, medicinal chemistry, and computational research. Major instrumentation is concentrated within established shared research cores, including the </w:t>
      </w:r>
      <w:r w:rsidRPr="00230E07">
        <w:rPr>
          <w:b/>
          <w:bCs/>
        </w:rPr>
        <w:t>Functional Genomics Core, Drug Design and Synthesis Core, and Microscopy and Flow Cytometry Core Facilities</w:t>
      </w:r>
      <w:r w:rsidRPr="00230E07">
        <w:t>, with trained personnel available to assist investigators with experimental design, instrument operation, data generation, and analysis.</w:t>
      </w:r>
    </w:p>
    <w:p w14:paraId="15742035" w14:textId="77777777" w:rsidR="00230E07" w:rsidRPr="00230E07" w:rsidRDefault="00230E07" w:rsidP="00230E07">
      <w:pPr>
        <w:pStyle w:val="BodyText"/>
        <w:spacing w:before="243" w:line="232" w:lineRule="auto"/>
        <w:ind w:right="175"/>
        <w:jc w:val="both"/>
        <w:rPr>
          <w:b/>
          <w:bCs/>
        </w:rPr>
      </w:pPr>
      <w:r w:rsidRPr="00230E07">
        <w:rPr>
          <w:b/>
          <w:bCs/>
        </w:rPr>
        <w:t>Functional Genomics Core</w:t>
      </w:r>
    </w:p>
    <w:p w14:paraId="23045C69" w14:textId="77777777" w:rsidR="00230E07" w:rsidRPr="00230E07" w:rsidRDefault="00230E07" w:rsidP="00230E07">
      <w:pPr>
        <w:pStyle w:val="BodyText"/>
        <w:spacing w:before="243" w:line="232" w:lineRule="auto"/>
        <w:ind w:right="175"/>
        <w:jc w:val="both"/>
      </w:pPr>
      <w:r w:rsidRPr="00230E07">
        <w:t xml:space="preserve">The </w:t>
      </w:r>
      <w:r w:rsidRPr="00230E07">
        <w:rPr>
          <w:b/>
          <w:bCs/>
        </w:rPr>
        <w:t>Functional Genomics Core (FGC)</w:t>
      </w:r>
      <w:r w:rsidRPr="00230E07">
        <w:t xml:space="preserve">, located in the Coker Life Sciences Building, provides technologies and instrumentation for genomics, transcriptomics, epigenomics, functional genomics, gene-expression analysis, genotyping, genome sequencing, functional screening, and bioinformatics. </w:t>
      </w:r>
      <w:proofErr w:type="gramStart"/>
      <w:r w:rsidRPr="00230E07">
        <w:t>The Core</w:t>
      </w:r>
      <w:proofErr w:type="gramEnd"/>
      <w:r w:rsidRPr="00230E07">
        <w:t xml:space="preserve"> supports projects from experimental design through generation of publication-quality data.</w:t>
      </w:r>
    </w:p>
    <w:p w14:paraId="7959E2BC" w14:textId="77777777" w:rsidR="00230E07" w:rsidRPr="00230E07" w:rsidRDefault="00230E07" w:rsidP="00230E07">
      <w:pPr>
        <w:pStyle w:val="BodyText"/>
        <w:spacing w:before="243" w:line="232" w:lineRule="auto"/>
        <w:ind w:right="175"/>
        <w:jc w:val="both"/>
      </w:pPr>
      <w:r w:rsidRPr="00230E07">
        <w:t>Available capabilities and equipment support:</w:t>
      </w:r>
    </w:p>
    <w:p w14:paraId="085C4827" w14:textId="2EEC8077" w:rsidR="00230E07" w:rsidRPr="00230E07" w:rsidRDefault="00230E07" w:rsidP="00230E07">
      <w:pPr>
        <w:pStyle w:val="BodyText"/>
        <w:numPr>
          <w:ilvl w:val="0"/>
          <w:numId w:val="7"/>
        </w:numPr>
        <w:spacing w:before="243" w:line="232" w:lineRule="auto"/>
        <w:ind w:right="175"/>
        <w:jc w:val="both"/>
      </w:pPr>
      <w:r w:rsidRPr="00230E07">
        <w:t>Sanger and next-generation sequencing (NGS)</w:t>
      </w:r>
    </w:p>
    <w:p w14:paraId="5748AB67" w14:textId="77777777" w:rsidR="00230E07" w:rsidRPr="00230E07" w:rsidRDefault="00230E07" w:rsidP="00230E07">
      <w:pPr>
        <w:pStyle w:val="BodyText"/>
        <w:numPr>
          <w:ilvl w:val="0"/>
          <w:numId w:val="7"/>
        </w:numPr>
        <w:spacing w:before="243" w:line="232" w:lineRule="auto"/>
        <w:ind w:right="175"/>
        <w:jc w:val="both"/>
      </w:pPr>
      <w:r w:rsidRPr="00230E07">
        <w:t>NGS library construction</w:t>
      </w:r>
    </w:p>
    <w:p w14:paraId="19E460D7" w14:textId="77777777" w:rsidR="00230E07" w:rsidRPr="00230E07" w:rsidRDefault="00230E07" w:rsidP="00230E07">
      <w:pPr>
        <w:pStyle w:val="BodyText"/>
        <w:numPr>
          <w:ilvl w:val="0"/>
          <w:numId w:val="7"/>
        </w:numPr>
        <w:spacing w:before="243" w:line="232" w:lineRule="auto"/>
        <w:ind w:right="175"/>
        <w:jc w:val="both"/>
      </w:pPr>
      <w:r w:rsidRPr="00230E07">
        <w:t>Gene-expression and transcriptomic analysis</w:t>
      </w:r>
    </w:p>
    <w:p w14:paraId="6963EA73" w14:textId="77777777" w:rsidR="00230E07" w:rsidRPr="00230E07" w:rsidRDefault="00230E07" w:rsidP="00230E07">
      <w:pPr>
        <w:pStyle w:val="BodyText"/>
        <w:numPr>
          <w:ilvl w:val="0"/>
          <w:numId w:val="7"/>
        </w:numPr>
        <w:spacing w:before="243" w:line="232" w:lineRule="auto"/>
        <w:ind w:right="175"/>
        <w:jc w:val="both"/>
      </w:pPr>
      <w:r w:rsidRPr="00230E07">
        <w:t>Genotyping and genome sequencing</w:t>
      </w:r>
    </w:p>
    <w:p w14:paraId="39262F85" w14:textId="77777777" w:rsidR="00230E07" w:rsidRPr="00230E07" w:rsidRDefault="00230E07" w:rsidP="00230E07">
      <w:pPr>
        <w:pStyle w:val="BodyText"/>
        <w:numPr>
          <w:ilvl w:val="0"/>
          <w:numId w:val="7"/>
        </w:numPr>
        <w:spacing w:before="243" w:line="232" w:lineRule="auto"/>
        <w:ind w:right="175"/>
        <w:jc w:val="both"/>
      </w:pPr>
      <w:r w:rsidRPr="00230E07">
        <w:t>Epigenomic analyses</w:t>
      </w:r>
    </w:p>
    <w:p w14:paraId="08F9D0D2" w14:textId="77777777" w:rsidR="00230E07" w:rsidRPr="00230E07" w:rsidRDefault="00230E07" w:rsidP="00230E07">
      <w:pPr>
        <w:pStyle w:val="BodyText"/>
        <w:numPr>
          <w:ilvl w:val="0"/>
          <w:numId w:val="7"/>
        </w:numPr>
        <w:spacing w:before="243" w:line="232" w:lineRule="auto"/>
        <w:ind w:right="175"/>
        <w:jc w:val="both"/>
      </w:pPr>
      <w:r w:rsidRPr="00230E07">
        <w:t>Real-time PCR</w:t>
      </w:r>
    </w:p>
    <w:p w14:paraId="72CCB10C" w14:textId="77777777" w:rsidR="00230E07" w:rsidRPr="00230E07" w:rsidRDefault="00230E07" w:rsidP="00230E07">
      <w:pPr>
        <w:pStyle w:val="BodyText"/>
        <w:numPr>
          <w:ilvl w:val="0"/>
          <w:numId w:val="7"/>
        </w:numPr>
        <w:spacing w:before="243" w:line="232" w:lineRule="auto"/>
        <w:ind w:right="175"/>
        <w:jc w:val="both"/>
      </w:pPr>
      <w:r w:rsidRPr="00230E07">
        <w:t>Microarray hybridization</w:t>
      </w:r>
    </w:p>
    <w:p w14:paraId="31B1125F" w14:textId="77777777" w:rsidR="00230E07" w:rsidRPr="00230E07" w:rsidRDefault="00230E07" w:rsidP="00230E07">
      <w:pPr>
        <w:pStyle w:val="BodyText"/>
        <w:numPr>
          <w:ilvl w:val="0"/>
          <w:numId w:val="7"/>
        </w:numPr>
        <w:spacing w:before="243" w:line="232" w:lineRule="auto"/>
        <w:ind w:right="175"/>
        <w:jc w:val="both"/>
      </w:pPr>
      <w:r w:rsidRPr="00230E07">
        <w:t>Nucleic-acid purification, quantification, and quality control</w:t>
      </w:r>
    </w:p>
    <w:p w14:paraId="711A8779" w14:textId="77777777" w:rsidR="00230E07" w:rsidRPr="00230E07" w:rsidRDefault="00230E07" w:rsidP="00230E07">
      <w:pPr>
        <w:pStyle w:val="BodyText"/>
        <w:numPr>
          <w:ilvl w:val="0"/>
          <w:numId w:val="7"/>
        </w:numPr>
        <w:spacing w:before="243" w:line="232" w:lineRule="auto"/>
        <w:ind w:right="175"/>
        <w:jc w:val="both"/>
      </w:pPr>
      <w:r w:rsidRPr="00230E07">
        <w:t>Bioinformatics analysis</w:t>
      </w:r>
    </w:p>
    <w:p w14:paraId="21CC194E" w14:textId="77777777" w:rsidR="00230E07" w:rsidRPr="00230E07" w:rsidRDefault="00230E07" w:rsidP="00230E07">
      <w:pPr>
        <w:pStyle w:val="BodyText"/>
        <w:numPr>
          <w:ilvl w:val="0"/>
          <w:numId w:val="7"/>
        </w:numPr>
        <w:spacing w:before="243" w:line="232" w:lineRule="auto"/>
        <w:ind w:right="175"/>
        <w:jc w:val="both"/>
      </w:pPr>
      <w:r w:rsidRPr="00230E07">
        <w:t>Functional genomic screening</w:t>
      </w:r>
    </w:p>
    <w:p w14:paraId="2DF391FD" w14:textId="77777777" w:rsidR="00230E07" w:rsidRPr="00230E07" w:rsidRDefault="00230E07" w:rsidP="00230E07">
      <w:pPr>
        <w:pStyle w:val="BodyText"/>
        <w:numPr>
          <w:ilvl w:val="0"/>
          <w:numId w:val="7"/>
        </w:numPr>
        <w:spacing w:before="243" w:line="232" w:lineRule="auto"/>
        <w:ind w:right="175"/>
        <w:jc w:val="both"/>
      </w:pPr>
      <w:r w:rsidRPr="00230E07">
        <w:t>Construction and production of lentiviral vectors and lentiviruses</w:t>
      </w:r>
    </w:p>
    <w:p w14:paraId="743469C7" w14:textId="77777777" w:rsidR="00230E07" w:rsidRPr="00230E07" w:rsidRDefault="00230E07" w:rsidP="00230E07">
      <w:pPr>
        <w:pStyle w:val="BodyText"/>
        <w:numPr>
          <w:ilvl w:val="0"/>
          <w:numId w:val="7"/>
        </w:numPr>
        <w:spacing w:before="243" w:line="232" w:lineRule="auto"/>
        <w:ind w:right="175"/>
        <w:jc w:val="both"/>
      </w:pPr>
      <w:r w:rsidRPr="00230E07">
        <w:t>CRISPR-Cas9/sgRNA and RNAi/shRNA approaches, including individual gene knockdown and genome-scale functional screening</w:t>
      </w:r>
    </w:p>
    <w:p w14:paraId="19CAF374" w14:textId="77777777" w:rsidR="00230E07" w:rsidRPr="00230E07" w:rsidRDefault="00230E07" w:rsidP="00230E07">
      <w:pPr>
        <w:pStyle w:val="BodyText"/>
        <w:spacing w:before="243" w:line="232" w:lineRule="auto"/>
        <w:ind w:right="175"/>
        <w:jc w:val="both"/>
      </w:pPr>
      <w:r w:rsidRPr="00230E07">
        <w:t>The Core maintains specialized instrumentation for sequencing, nucleic-acid analysis, molecular biology, and functional genomics and provides investigators with access to associated computational and bioinformatics resources. The FGC also maintains functional genomic resources for CRISPR-, sgRNA-, and shRNA-based target identification and validation.</w:t>
      </w:r>
    </w:p>
    <w:p w14:paraId="19EA5BDF" w14:textId="77777777" w:rsidR="00230E07" w:rsidRPr="00230E07" w:rsidRDefault="00230E07" w:rsidP="00230E07">
      <w:pPr>
        <w:pStyle w:val="BodyText"/>
        <w:spacing w:before="243" w:line="232" w:lineRule="auto"/>
        <w:ind w:right="175"/>
        <w:jc w:val="both"/>
        <w:rPr>
          <w:b/>
          <w:bCs/>
        </w:rPr>
      </w:pPr>
      <w:r w:rsidRPr="00230E07">
        <w:rPr>
          <w:b/>
          <w:bCs/>
        </w:rPr>
        <w:t>Microscopy Core</w:t>
      </w:r>
    </w:p>
    <w:p w14:paraId="4ED32C5D" w14:textId="77777777" w:rsidR="00230E07" w:rsidRPr="00230E07" w:rsidRDefault="00230E07" w:rsidP="00230E07">
      <w:pPr>
        <w:pStyle w:val="BodyText"/>
        <w:spacing w:before="243" w:line="232" w:lineRule="auto"/>
        <w:ind w:right="175"/>
        <w:jc w:val="both"/>
      </w:pPr>
      <w:r w:rsidRPr="00230E07">
        <w:t xml:space="preserve">The </w:t>
      </w:r>
      <w:r w:rsidRPr="00230E07">
        <w:rPr>
          <w:b/>
          <w:bCs/>
        </w:rPr>
        <w:t>Microscopy Core</w:t>
      </w:r>
      <w:r w:rsidRPr="00230E07">
        <w:t>, housed in the Coker Life Sciences Building, provides advanced biological imaging technologies for phase-contrast, differential interference contrast (DIC), widefield fluorescence, confocal, live-cell, automated, and high-content imaging.</w:t>
      </w:r>
    </w:p>
    <w:p w14:paraId="1659C806" w14:textId="77777777" w:rsidR="00230E07" w:rsidRPr="00230E07" w:rsidRDefault="00230E07" w:rsidP="00230E07">
      <w:pPr>
        <w:pStyle w:val="BodyText"/>
        <w:spacing w:before="243" w:line="232" w:lineRule="auto"/>
        <w:ind w:right="175"/>
        <w:jc w:val="both"/>
      </w:pPr>
      <w:r w:rsidRPr="00230E07">
        <w:lastRenderedPageBreak/>
        <w:t>Major instrumentation includes:</w:t>
      </w:r>
    </w:p>
    <w:p w14:paraId="0D5B58A9" w14:textId="0AF7693B" w:rsidR="00230E07" w:rsidRPr="00230E07" w:rsidRDefault="00230E07" w:rsidP="00230E07">
      <w:pPr>
        <w:pStyle w:val="BodyText"/>
        <w:numPr>
          <w:ilvl w:val="0"/>
          <w:numId w:val="8"/>
        </w:numPr>
        <w:spacing w:before="243" w:line="232" w:lineRule="auto"/>
        <w:ind w:right="175"/>
        <w:jc w:val="both"/>
      </w:pPr>
      <w:r w:rsidRPr="00230E07">
        <w:rPr>
          <w:b/>
          <w:bCs/>
        </w:rPr>
        <w:t xml:space="preserve">Agilent </w:t>
      </w:r>
      <w:proofErr w:type="spellStart"/>
      <w:r w:rsidRPr="00230E07">
        <w:rPr>
          <w:b/>
          <w:bCs/>
        </w:rPr>
        <w:t>Cytation</w:t>
      </w:r>
      <w:proofErr w:type="spellEnd"/>
      <w:r w:rsidRPr="00230E07">
        <w:rPr>
          <w:b/>
          <w:bCs/>
        </w:rPr>
        <w:t xml:space="preserve"> 5 Imaging System with </w:t>
      </w:r>
      <w:proofErr w:type="spellStart"/>
      <w:r w:rsidRPr="00230E07">
        <w:rPr>
          <w:b/>
          <w:bCs/>
        </w:rPr>
        <w:t>BioSpa</w:t>
      </w:r>
      <w:proofErr w:type="spellEnd"/>
      <w:r w:rsidRPr="00230E07">
        <w:rPr>
          <w:b/>
          <w:bCs/>
        </w:rPr>
        <w:t xml:space="preserve"> Incubation and Robotics</w:t>
      </w:r>
      <w:r w:rsidRPr="00230E07">
        <w:t>, supporting automated brightfield, phase-contrast, and multichannel fluorescence imaging and simultaneous time-lapse experiments.</w:t>
      </w:r>
    </w:p>
    <w:p w14:paraId="04651401" w14:textId="77777777" w:rsidR="00230E07" w:rsidRPr="00230E07" w:rsidRDefault="00230E07" w:rsidP="00230E07">
      <w:pPr>
        <w:pStyle w:val="BodyText"/>
        <w:numPr>
          <w:ilvl w:val="0"/>
          <w:numId w:val="8"/>
        </w:numPr>
        <w:spacing w:before="243" w:line="232" w:lineRule="auto"/>
        <w:ind w:right="175"/>
        <w:jc w:val="both"/>
      </w:pPr>
      <w:r w:rsidRPr="00230E07">
        <w:rPr>
          <w:b/>
          <w:bCs/>
        </w:rPr>
        <w:t>Carl Zeiss LSM700 Confocal Microscope</w:t>
      </w:r>
      <w:r w:rsidRPr="00230E07">
        <w:t xml:space="preserve">, supporting confocal point scanning, three-dimensional reconstruction, multi-field time-lapse imaging, </w:t>
      </w:r>
      <w:proofErr w:type="spellStart"/>
      <w:r w:rsidRPr="00230E07">
        <w:t>ratiometric</w:t>
      </w:r>
      <w:proofErr w:type="spellEnd"/>
      <w:r w:rsidRPr="00230E07">
        <w:t xml:space="preserve"> analyses, tile-and-stitch imaging, FRET, and FRAP.</w:t>
      </w:r>
    </w:p>
    <w:p w14:paraId="34BD1E37" w14:textId="77777777" w:rsidR="00230E07" w:rsidRPr="00230E07" w:rsidRDefault="00230E07" w:rsidP="00230E07">
      <w:pPr>
        <w:pStyle w:val="BodyText"/>
        <w:numPr>
          <w:ilvl w:val="0"/>
          <w:numId w:val="8"/>
        </w:numPr>
        <w:spacing w:before="243" w:line="232" w:lineRule="auto"/>
        <w:ind w:right="175"/>
        <w:jc w:val="both"/>
      </w:pPr>
      <w:r w:rsidRPr="00230E07">
        <w:rPr>
          <w:b/>
          <w:bCs/>
        </w:rPr>
        <w:t>Leica DM IRE2 Imaging Systems</w:t>
      </w:r>
      <w:r w:rsidRPr="00230E07">
        <w:t>, including an environmentally controlled system for live-cell imaging and multichannel fluorescence microscopy.</w:t>
      </w:r>
    </w:p>
    <w:p w14:paraId="563CF221" w14:textId="77777777" w:rsidR="00230E07" w:rsidRPr="00230E07" w:rsidRDefault="00230E07" w:rsidP="00230E07">
      <w:pPr>
        <w:pStyle w:val="BodyText"/>
        <w:numPr>
          <w:ilvl w:val="0"/>
          <w:numId w:val="8"/>
        </w:numPr>
        <w:spacing w:before="243" w:line="232" w:lineRule="auto"/>
        <w:ind w:right="175"/>
        <w:jc w:val="both"/>
      </w:pPr>
      <w:r w:rsidRPr="00230E07">
        <w:rPr>
          <w:b/>
          <w:bCs/>
        </w:rPr>
        <w:t>Olympus IX81 Fluorescence Microscope</w:t>
      </w:r>
      <w:r w:rsidRPr="00230E07">
        <w:t>, an inverted system configured for fluorescence and live-cell imaging.</w:t>
      </w:r>
    </w:p>
    <w:p w14:paraId="7B21C722" w14:textId="77777777" w:rsidR="00230E07" w:rsidRPr="00230E07" w:rsidRDefault="00230E07" w:rsidP="00230E07">
      <w:pPr>
        <w:pStyle w:val="BodyText"/>
        <w:numPr>
          <w:ilvl w:val="0"/>
          <w:numId w:val="8"/>
        </w:numPr>
        <w:spacing w:before="243" w:line="232" w:lineRule="auto"/>
        <w:ind w:right="175"/>
        <w:jc w:val="both"/>
      </w:pPr>
      <w:r w:rsidRPr="00230E07">
        <w:rPr>
          <w:b/>
          <w:bCs/>
        </w:rPr>
        <w:t>Carl Zeiss Axiovert 200 Microscopes</w:t>
      </w:r>
      <w:r w:rsidRPr="00230E07">
        <w:t>, providing phase-contrast and color imaging for live and stained specimens and applications including cell migration, proliferation, apoptosis, mitosis, and lineage tracking.</w:t>
      </w:r>
    </w:p>
    <w:p w14:paraId="59E159D0" w14:textId="77777777" w:rsidR="00230E07" w:rsidRPr="00230E07" w:rsidRDefault="00230E07" w:rsidP="00230E07">
      <w:pPr>
        <w:pStyle w:val="BodyText"/>
        <w:numPr>
          <w:ilvl w:val="0"/>
          <w:numId w:val="8"/>
        </w:numPr>
        <w:spacing w:before="243" w:line="232" w:lineRule="auto"/>
        <w:ind w:right="175"/>
        <w:jc w:val="both"/>
      </w:pPr>
      <w:r w:rsidRPr="00230E07">
        <w:rPr>
          <w:b/>
          <w:bCs/>
        </w:rPr>
        <w:t>ZEISS PALM Laser Microdissection System</w:t>
      </w:r>
      <w:r w:rsidRPr="00230E07">
        <w:t>, supporting precise isolation of cells and tissue regions from cryosections, formalin-fixed paraffin-embedded specimens, native tissues, and live cells for downstream DNA, RNA, and protein analyses.</w:t>
      </w:r>
    </w:p>
    <w:p w14:paraId="353F6125" w14:textId="77777777" w:rsidR="00230E07" w:rsidRPr="00230E07" w:rsidRDefault="00230E07" w:rsidP="00230E07">
      <w:pPr>
        <w:pStyle w:val="BodyText"/>
        <w:spacing w:before="243" w:line="232" w:lineRule="auto"/>
        <w:ind w:right="175"/>
        <w:jc w:val="both"/>
      </w:pPr>
      <w:r w:rsidRPr="00230E07">
        <w:t>The facility provides investigators with technical expertise, training, and assistance in imaging experimental design and analysis.</w:t>
      </w:r>
    </w:p>
    <w:p w14:paraId="5B7EA773" w14:textId="77777777" w:rsidR="00230E07" w:rsidRPr="00230E07" w:rsidRDefault="00230E07" w:rsidP="00230E07">
      <w:pPr>
        <w:pStyle w:val="BodyText"/>
        <w:spacing w:before="243" w:line="232" w:lineRule="auto"/>
        <w:ind w:right="175"/>
        <w:jc w:val="both"/>
        <w:rPr>
          <w:b/>
          <w:bCs/>
        </w:rPr>
      </w:pPr>
      <w:r w:rsidRPr="00230E07">
        <w:rPr>
          <w:b/>
          <w:bCs/>
        </w:rPr>
        <w:t>Flow Cytometry Core</w:t>
      </w:r>
    </w:p>
    <w:p w14:paraId="24EACCE8" w14:textId="77777777" w:rsidR="00230E07" w:rsidRPr="00230E07" w:rsidRDefault="00230E07" w:rsidP="00230E07">
      <w:pPr>
        <w:pStyle w:val="BodyText"/>
        <w:spacing w:before="243" w:line="232" w:lineRule="auto"/>
        <w:ind w:right="175"/>
        <w:jc w:val="both"/>
      </w:pPr>
      <w:r w:rsidRPr="00230E07">
        <w:t xml:space="preserve">The </w:t>
      </w:r>
      <w:r w:rsidRPr="00230E07">
        <w:rPr>
          <w:b/>
          <w:bCs/>
        </w:rPr>
        <w:t>Flow Cytometry Core</w:t>
      </w:r>
      <w:r w:rsidRPr="00230E07">
        <w:t>, located in the Coker Life Sciences Building, provides instrumentation for multiparameter flow cytometric analysis and high-speed cell sorting. Major equipment includes:</w:t>
      </w:r>
    </w:p>
    <w:p w14:paraId="5EC3A9DC" w14:textId="42C82479" w:rsidR="00230E07" w:rsidRPr="00230E07" w:rsidRDefault="00230E07" w:rsidP="00230E07">
      <w:pPr>
        <w:pStyle w:val="BodyText"/>
        <w:numPr>
          <w:ilvl w:val="0"/>
          <w:numId w:val="9"/>
        </w:numPr>
        <w:spacing w:before="243" w:line="232" w:lineRule="auto"/>
        <w:ind w:right="175"/>
        <w:jc w:val="both"/>
      </w:pPr>
      <w:r w:rsidRPr="00230E07">
        <w:rPr>
          <w:b/>
          <w:bCs/>
        </w:rPr>
        <w:t>BD LSR II Flow Cytometer with High-Throughput Sampler (HTS)</w:t>
      </w:r>
      <w:r w:rsidRPr="00230E07">
        <w:t>, a three-laser analytical flow cytometer capable of detecting multiple fluorescent and physical parameters and supporting high-throughput sample analysis.</w:t>
      </w:r>
    </w:p>
    <w:p w14:paraId="13584500" w14:textId="77777777" w:rsidR="00230E07" w:rsidRPr="00230E07" w:rsidRDefault="00230E07" w:rsidP="00230E07">
      <w:pPr>
        <w:pStyle w:val="BodyText"/>
        <w:numPr>
          <w:ilvl w:val="0"/>
          <w:numId w:val="9"/>
        </w:numPr>
        <w:spacing w:before="243" w:line="232" w:lineRule="auto"/>
        <w:ind w:right="175"/>
        <w:jc w:val="both"/>
      </w:pPr>
      <w:r w:rsidRPr="00230E07">
        <w:rPr>
          <w:b/>
          <w:bCs/>
        </w:rPr>
        <w:t xml:space="preserve">BD </w:t>
      </w:r>
      <w:proofErr w:type="spellStart"/>
      <w:r w:rsidRPr="00230E07">
        <w:rPr>
          <w:b/>
          <w:bCs/>
        </w:rPr>
        <w:t>FACSAria</w:t>
      </w:r>
      <w:proofErr w:type="spellEnd"/>
      <w:r w:rsidRPr="00230E07">
        <w:rPr>
          <w:b/>
          <w:bCs/>
        </w:rPr>
        <w:t xml:space="preserve"> Cell Sorter</w:t>
      </w:r>
      <w:r w:rsidRPr="00230E07">
        <w:t>, a high-speed, three-laser cell sorter supporting multiparameter analysis and four-way sorting into tubes, microtiter plates, or slides.</w:t>
      </w:r>
    </w:p>
    <w:p w14:paraId="3C5BCFF1" w14:textId="77777777" w:rsidR="00230E07" w:rsidRPr="00230E07" w:rsidRDefault="00230E07" w:rsidP="00230E07">
      <w:pPr>
        <w:pStyle w:val="BodyText"/>
        <w:numPr>
          <w:ilvl w:val="0"/>
          <w:numId w:val="9"/>
        </w:numPr>
        <w:spacing w:before="243" w:line="232" w:lineRule="auto"/>
        <w:ind w:right="175"/>
        <w:jc w:val="both"/>
      </w:pPr>
      <w:r w:rsidRPr="00230E07">
        <w:rPr>
          <w:b/>
          <w:bCs/>
        </w:rPr>
        <w:t>Sony SH-800 Cell Sorter</w:t>
      </w:r>
      <w:r w:rsidRPr="00230E07">
        <w:t>, a microfluidic-based cell sorter equipped with 405-, 488-, 561-, and 638-nm excitation lasers and capable of sorting into tubes and 96-well plates.</w:t>
      </w:r>
    </w:p>
    <w:p w14:paraId="29451A35" w14:textId="77777777" w:rsidR="00230E07" w:rsidRPr="00230E07" w:rsidRDefault="00230E07" w:rsidP="00230E07">
      <w:pPr>
        <w:pStyle w:val="BodyText"/>
        <w:spacing w:before="243" w:line="232" w:lineRule="auto"/>
        <w:ind w:right="175"/>
        <w:jc w:val="both"/>
      </w:pPr>
      <w:r w:rsidRPr="00230E07">
        <w:t>These instruments support immunophenotyping, quantitative cellular analysis, isolation of defined and rare cell populations, and a broad range of cellular and molecular applications. Core personnel provide technical consultation, instrument training, and assistance with experimental design and data acquisition.</w:t>
      </w:r>
    </w:p>
    <w:p w14:paraId="5B0B2BEF" w14:textId="77777777" w:rsidR="00230E07" w:rsidRPr="00230E07" w:rsidRDefault="00230E07" w:rsidP="00230E07">
      <w:pPr>
        <w:pStyle w:val="BodyText"/>
        <w:spacing w:before="243" w:line="232" w:lineRule="auto"/>
        <w:ind w:right="175"/>
        <w:jc w:val="both"/>
        <w:rPr>
          <w:b/>
          <w:bCs/>
        </w:rPr>
      </w:pPr>
      <w:r w:rsidRPr="00230E07">
        <w:rPr>
          <w:b/>
          <w:bCs/>
        </w:rPr>
        <w:t>Drug Design and Synthesis Core</w:t>
      </w:r>
    </w:p>
    <w:p w14:paraId="56A15101" w14:textId="77777777" w:rsidR="00230E07" w:rsidRPr="00230E07" w:rsidRDefault="00230E07" w:rsidP="00230E07">
      <w:pPr>
        <w:pStyle w:val="BodyText"/>
        <w:spacing w:before="243" w:line="232" w:lineRule="auto"/>
        <w:ind w:right="175"/>
        <w:jc w:val="both"/>
      </w:pPr>
      <w:r w:rsidRPr="00230E07">
        <w:t xml:space="preserve">The </w:t>
      </w:r>
      <w:r w:rsidRPr="00230E07">
        <w:rPr>
          <w:b/>
          <w:bCs/>
        </w:rPr>
        <w:t>Drug Design and Synthesis Core</w:t>
      </w:r>
      <w:r w:rsidRPr="00230E07">
        <w:t xml:space="preserve">, located in the Coker Life Sciences Building, provides approximately </w:t>
      </w:r>
      <w:r w:rsidRPr="00230E07">
        <w:rPr>
          <w:b/>
          <w:bCs/>
        </w:rPr>
        <w:t>1,200 square feet of fully equipped synthetic chemistry laboratory space</w:t>
      </w:r>
      <w:r w:rsidRPr="00230E07">
        <w:t xml:space="preserve"> and specialized instrumentation for computational drug design, medicinal chemistry, compound synthesis, purification, and screening.</w:t>
      </w:r>
    </w:p>
    <w:p w14:paraId="05AD83C2" w14:textId="77777777" w:rsidR="00230E07" w:rsidRPr="00230E07" w:rsidRDefault="00230E07" w:rsidP="00230E07">
      <w:pPr>
        <w:pStyle w:val="BodyText"/>
        <w:spacing w:before="243" w:line="232" w:lineRule="auto"/>
        <w:ind w:right="175"/>
        <w:jc w:val="both"/>
      </w:pPr>
      <w:r w:rsidRPr="00230E07">
        <w:t>Major resources include:</w:t>
      </w:r>
    </w:p>
    <w:p w14:paraId="6CA46EA2" w14:textId="3EFD9298" w:rsidR="00230E07" w:rsidRPr="00230E07" w:rsidRDefault="00230E07" w:rsidP="00230E07">
      <w:pPr>
        <w:pStyle w:val="BodyText"/>
        <w:numPr>
          <w:ilvl w:val="0"/>
          <w:numId w:val="10"/>
        </w:numPr>
        <w:spacing w:before="243" w:line="232" w:lineRule="auto"/>
        <w:ind w:right="175"/>
        <w:jc w:val="both"/>
      </w:pPr>
      <w:r w:rsidRPr="00230E07">
        <w:rPr>
          <w:b/>
          <w:bCs/>
        </w:rPr>
        <w:t>Waters fully automated mass-directed preparative HPLC system</w:t>
      </w:r>
      <w:r w:rsidRPr="00230E07">
        <w:t xml:space="preserve"> for compound </w:t>
      </w:r>
      <w:r w:rsidRPr="00230E07">
        <w:lastRenderedPageBreak/>
        <w:t>separation, purification, and characterization.</w:t>
      </w:r>
    </w:p>
    <w:p w14:paraId="7B352FCA" w14:textId="77777777" w:rsidR="00230E07" w:rsidRPr="00230E07" w:rsidRDefault="00230E07" w:rsidP="00230E07">
      <w:pPr>
        <w:pStyle w:val="BodyText"/>
        <w:numPr>
          <w:ilvl w:val="0"/>
          <w:numId w:val="10"/>
        </w:numPr>
        <w:spacing w:before="243" w:line="232" w:lineRule="auto"/>
        <w:ind w:right="175"/>
        <w:jc w:val="both"/>
      </w:pPr>
      <w:proofErr w:type="spellStart"/>
      <w:r w:rsidRPr="00230E07">
        <w:rPr>
          <w:b/>
          <w:bCs/>
        </w:rPr>
        <w:t>Biotage</w:t>
      </w:r>
      <w:proofErr w:type="spellEnd"/>
      <w:r w:rsidRPr="00230E07">
        <w:rPr>
          <w:b/>
          <w:bCs/>
        </w:rPr>
        <w:t xml:space="preserve"> automated flash chromatography system</w:t>
      </w:r>
      <w:r w:rsidRPr="00230E07">
        <w:t xml:space="preserve"> for rapid compound purification.</w:t>
      </w:r>
    </w:p>
    <w:p w14:paraId="42774ACC" w14:textId="77777777" w:rsidR="00230E07" w:rsidRPr="00230E07" w:rsidRDefault="00230E07" w:rsidP="00230E07">
      <w:pPr>
        <w:pStyle w:val="BodyText"/>
        <w:numPr>
          <w:ilvl w:val="0"/>
          <w:numId w:val="10"/>
        </w:numPr>
        <w:spacing w:before="243" w:line="232" w:lineRule="auto"/>
        <w:ind w:right="175"/>
        <w:jc w:val="both"/>
      </w:pPr>
      <w:r w:rsidRPr="00230E07">
        <w:rPr>
          <w:b/>
          <w:bCs/>
        </w:rPr>
        <w:t>Protein Technologies six-channel fully automated parallel peptide and solid-phase organic synthesizer</w:t>
      </w:r>
      <w:r w:rsidRPr="00230E07">
        <w:t>.</w:t>
      </w:r>
    </w:p>
    <w:p w14:paraId="757D5C08" w14:textId="77777777" w:rsidR="00230E07" w:rsidRPr="00230E07" w:rsidRDefault="00230E07" w:rsidP="00230E07">
      <w:pPr>
        <w:pStyle w:val="BodyText"/>
        <w:numPr>
          <w:ilvl w:val="0"/>
          <w:numId w:val="10"/>
        </w:numPr>
        <w:spacing w:before="243" w:line="232" w:lineRule="auto"/>
        <w:ind w:right="175"/>
        <w:jc w:val="both"/>
      </w:pPr>
      <w:proofErr w:type="spellStart"/>
      <w:r w:rsidRPr="00230E07">
        <w:rPr>
          <w:b/>
          <w:bCs/>
        </w:rPr>
        <w:t>ChemBridge</w:t>
      </w:r>
      <w:proofErr w:type="spellEnd"/>
      <w:r w:rsidRPr="00230E07">
        <w:rPr>
          <w:b/>
          <w:bCs/>
        </w:rPr>
        <w:t xml:space="preserve"> </w:t>
      </w:r>
      <w:proofErr w:type="spellStart"/>
      <w:r w:rsidRPr="00230E07">
        <w:rPr>
          <w:b/>
          <w:bCs/>
        </w:rPr>
        <w:t>DIVERSet</w:t>
      </w:r>
      <w:proofErr w:type="spellEnd"/>
      <w:r w:rsidRPr="00230E07">
        <w:rPr>
          <w:b/>
          <w:bCs/>
        </w:rPr>
        <w:t xml:space="preserve"> compound collection</w:t>
      </w:r>
      <w:r w:rsidRPr="00230E07">
        <w:t xml:space="preserve"> for compound screening.</w:t>
      </w:r>
    </w:p>
    <w:p w14:paraId="65409CA2" w14:textId="77777777" w:rsidR="00230E07" w:rsidRPr="00230E07" w:rsidRDefault="00230E07" w:rsidP="00230E07">
      <w:pPr>
        <w:pStyle w:val="BodyText"/>
        <w:numPr>
          <w:ilvl w:val="0"/>
          <w:numId w:val="10"/>
        </w:numPr>
        <w:spacing w:before="243" w:line="232" w:lineRule="auto"/>
        <w:ind w:right="175"/>
        <w:jc w:val="both"/>
      </w:pPr>
      <w:r w:rsidRPr="00230E07">
        <w:t>Molecular modeling and computational chemistry hardware and software for ligand- and structure-based molecular design.</w:t>
      </w:r>
    </w:p>
    <w:p w14:paraId="7AC5EB42" w14:textId="77777777" w:rsidR="00230E07" w:rsidRPr="00230E07" w:rsidRDefault="00230E07" w:rsidP="00230E07">
      <w:pPr>
        <w:pStyle w:val="BodyText"/>
        <w:numPr>
          <w:ilvl w:val="0"/>
          <w:numId w:val="10"/>
        </w:numPr>
        <w:spacing w:before="243" w:line="232" w:lineRule="auto"/>
        <w:ind w:right="175"/>
        <w:jc w:val="both"/>
      </w:pPr>
      <w:r w:rsidRPr="00230E07">
        <w:t>Access to USC high-performance computing resources for large-scale virtual screening and molecular docking.</w:t>
      </w:r>
    </w:p>
    <w:p w14:paraId="15DF3F36" w14:textId="77777777" w:rsidR="00230E07" w:rsidRPr="00230E07" w:rsidRDefault="00230E07" w:rsidP="00230E07">
      <w:pPr>
        <w:pStyle w:val="BodyText"/>
        <w:spacing w:before="243" w:line="232" w:lineRule="auto"/>
        <w:ind w:right="175"/>
        <w:jc w:val="both"/>
      </w:pPr>
      <w:r w:rsidRPr="00230E07">
        <w:t>The Core supports target evaluation, ligand- and structure-based virtual screening, prediction of pharmacokinetic and ADME properties, synthesis of small molecules, peptides and peptidomimetics, structure-activity relationship studies, compound purification, and design and synthesis of antibody-drug conjugates.</w:t>
      </w:r>
    </w:p>
    <w:p w14:paraId="3088B463" w14:textId="77777777" w:rsidR="00230E07" w:rsidRPr="00230E07" w:rsidRDefault="00230E07" w:rsidP="00230E07">
      <w:pPr>
        <w:pStyle w:val="BodyText"/>
        <w:spacing w:before="243" w:line="232" w:lineRule="auto"/>
        <w:ind w:right="175"/>
        <w:jc w:val="both"/>
        <w:rPr>
          <w:b/>
          <w:bCs/>
        </w:rPr>
      </w:pPr>
      <w:r w:rsidRPr="00230E07">
        <w:rPr>
          <w:b/>
          <w:bCs/>
        </w:rPr>
        <w:t>Peromyscus Genetic Stock Center</w:t>
      </w:r>
    </w:p>
    <w:p w14:paraId="077D1588" w14:textId="77777777" w:rsidR="00230E07" w:rsidRPr="00230E07" w:rsidRDefault="00230E07" w:rsidP="00230E07">
      <w:pPr>
        <w:pStyle w:val="BodyText"/>
        <w:spacing w:before="243" w:line="232" w:lineRule="auto"/>
        <w:ind w:right="175"/>
        <w:jc w:val="both"/>
      </w:pPr>
      <w:r w:rsidRPr="00230E07">
        <w:t xml:space="preserve">The </w:t>
      </w:r>
      <w:r w:rsidRPr="00230E07">
        <w:rPr>
          <w:b/>
          <w:bCs/>
        </w:rPr>
        <w:t>Peromyscus Genetic Stock Center</w:t>
      </w:r>
      <w:r w:rsidRPr="00230E07">
        <w:t xml:space="preserve"> provides a nationally distinctive biological research resource within the College of Pharmacy. The Center is the nation's largest supplier of </w:t>
      </w:r>
      <w:r w:rsidRPr="00230E07">
        <w:rPr>
          <w:i/>
          <w:iCs/>
        </w:rPr>
        <w:t>Peromyscus</w:t>
      </w:r>
      <w:r w:rsidRPr="00230E07">
        <w:t xml:space="preserve"> (deer mice) for biomedical research and maintains established breeding colonies and specialized resources for investigators using these models. The Center supplies live animals, tissues, and other biological materials and provides expertise to investigators developing studies using </w:t>
      </w:r>
      <w:r w:rsidRPr="00230E07">
        <w:rPr>
          <w:i/>
          <w:iCs/>
        </w:rPr>
        <w:t>Peromyscus</w:t>
      </w:r>
      <w:r w:rsidRPr="00230E07">
        <w:t xml:space="preserve"> models.</w:t>
      </w:r>
    </w:p>
    <w:p w14:paraId="64AFB488" w14:textId="77777777" w:rsidR="00230E07" w:rsidRPr="00230E07" w:rsidRDefault="00230E07" w:rsidP="00230E07">
      <w:pPr>
        <w:pStyle w:val="BodyText"/>
        <w:spacing w:before="243" w:line="232" w:lineRule="auto"/>
        <w:ind w:right="175"/>
        <w:jc w:val="both"/>
        <w:rPr>
          <w:b/>
          <w:bCs/>
        </w:rPr>
      </w:pPr>
      <w:r w:rsidRPr="00230E07">
        <w:rPr>
          <w:b/>
          <w:bCs/>
        </w:rPr>
        <w:t>Computational Resources</w:t>
      </w:r>
    </w:p>
    <w:p w14:paraId="43ADB31A" w14:textId="77777777" w:rsidR="00230E07" w:rsidRPr="00230E07" w:rsidRDefault="00230E07" w:rsidP="00230E07">
      <w:pPr>
        <w:pStyle w:val="BodyText"/>
        <w:spacing w:before="243" w:line="232" w:lineRule="auto"/>
        <w:ind w:right="175"/>
        <w:jc w:val="both"/>
      </w:pPr>
      <w:r w:rsidRPr="00230E07">
        <w:t xml:space="preserve">College instrumentation is complemented by USC's centralized research computing infrastructure. Investigators have access to high-performance computing and bioinformatics resources supporting </w:t>
      </w:r>
      <w:proofErr w:type="spellStart"/>
      <w:r w:rsidRPr="00230E07">
        <w:t>genomomics</w:t>
      </w:r>
      <w:proofErr w:type="spellEnd"/>
      <w:r w:rsidRPr="00230E07">
        <w:t>, transcriptomics, epigenomics, functional genomics, molecular modeling, virtual screening, and other computationally intensive applications. The Functional Genomics Core additionally provides bioinformatics support as an integrated component of its sequencing and functional-genomics services.</w:t>
      </w:r>
    </w:p>
    <w:p w14:paraId="79BCC349" w14:textId="77777777" w:rsidR="00230E07" w:rsidRPr="00230E07" w:rsidRDefault="00230E07" w:rsidP="00230E07">
      <w:pPr>
        <w:pStyle w:val="BodyText"/>
        <w:spacing w:before="243" w:line="232" w:lineRule="auto"/>
        <w:ind w:right="175"/>
        <w:jc w:val="both"/>
        <w:rPr>
          <w:b/>
          <w:bCs/>
        </w:rPr>
      </w:pPr>
      <w:r w:rsidRPr="00230E07">
        <w:rPr>
          <w:b/>
          <w:bCs/>
        </w:rPr>
        <w:t>General Laboratory Equipment</w:t>
      </w:r>
    </w:p>
    <w:p w14:paraId="599CB55D" w14:textId="77777777" w:rsidR="00230E07" w:rsidRPr="00230E07" w:rsidRDefault="00230E07" w:rsidP="00230E07">
      <w:pPr>
        <w:pStyle w:val="BodyText"/>
        <w:spacing w:before="243" w:line="232" w:lineRule="auto"/>
        <w:ind w:right="175"/>
        <w:jc w:val="both"/>
      </w:pPr>
      <w:r w:rsidRPr="00230E07">
        <w:t>Individual COP research laboratories contain the standard instrumentation necessary for contemporary biomedical, pharmaceutical, and molecular research, including biological safety cabinets, CO</w:t>
      </w:r>
      <w:r w:rsidRPr="00230E07">
        <w:rPr>
          <w:rFonts w:ascii="Cambria Math" w:hAnsi="Cambria Math" w:cs="Cambria Math"/>
        </w:rPr>
        <w:t>₂</w:t>
      </w:r>
      <w:r w:rsidRPr="00230E07">
        <w:t xml:space="preserve"> incubators, centrifuges, thermocyclers, quantitative PCR systems, refrigerators and −20°C/−80°C freezers, liquid-nitrogen storage, water baths, microscopes, plate readers, electrophoresis and imaging systems, and routine molecular and cellular biology equipment.</w:t>
      </w:r>
    </w:p>
    <w:p w14:paraId="6BE695B6" w14:textId="77777777" w:rsidR="00230E07" w:rsidRPr="00230E07" w:rsidRDefault="00230E07" w:rsidP="00230E07">
      <w:pPr>
        <w:pStyle w:val="BodyText"/>
        <w:spacing w:before="243" w:line="232" w:lineRule="auto"/>
        <w:ind w:right="175"/>
        <w:jc w:val="both"/>
      </w:pPr>
      <w:r w:rsidRPr="00230E07">
        <w:rPr>
          <w:b/>
          <w:bCs/>
        </w:rPr>
        <w:t>Overall Equipment Environment.</w:t>
      </w:r>
      <w:r w:rsidRPr="00230E07">
        <w:t xml:space="preserve"> Collectively, the College's genomics and functional-genomics technologies, advanced microscopy and imaging platforms, multiparameter flow cytometry and cell-sorting instrumentation, medicinal chemistry and drug-discovery equipment, specialized animal resources, and computational infrastructure provide a comprehensive technological environment for biomedical and pharmaceutical research. Organization of major instrumentation within shared research cores, coupled with experienced scientific and technical personnel, ensures broad investigator access to specialized technologies and promotes efficient, rigorous, and collaborative research.</w:t>
      </w:r>
    </w:p>
    <w:p w14:paraId="582B8BCE" w14:textId="77777777" w:rsidR="00313665" w:rsidRPr="00230E07" w:rsidRDefault="00313665" w:rsidP="00230E07">
      <w:pPr>
        <w:pStyle w:val="BodyText"/>
        <w:spacing w:before="243" w:line="232" w:lineRule="auto"/>
        <w:ind w:right="175"/>
        <w:jc w:val="both"/>
      </w:pPr>
    </w:p>
    <w:sectPr w:rsidR="00313665" w:rsidRPr="00230E07" w:rsidSect="00C825DD">
      <w:pgSz w:w="12240" w:h="15840"/>
      <w:pgMar w:top="136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5CF2"/>
    <w:multiLevelType w:val="multilevel"/>
    <w:tmpl w:val="08DAD24A"/>
    <w:lvl w:ilvl="0">
      <w:start w:val="1"/>
      <w:numFmt w:val="lowerRoman"/>
      <w:lvlText w:val="%1."/>
      <w:lvlJc w:val="left"/>
      <w:pPr>
        <w:tabs>
          <w:tab w:val="num" w:pos="720"/>
        </w:tabs>
        <w:ind w:left="720" w:hanging="360"/>
      </w:pPr>
      <w:rPr>
        <w:rFonts w:ascii="Arial" w:eastAsia="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D05E5"/>
    <w:multiLevelType w:val="multilevel"/>
    <w:tmpl w:val="226265A4"/>
    <w:lvl w:ilvl="0">
      <w:start w:val="1"/>
      <w:numFmt w:val="lowerRoman"/>
      <w:lvlText w:val="%1."/>
      <w:lvlJc w:val="left"/>
      <w:pPr>
        <w:tabs>
          <w:tab w:val="num" w:pos="720"/>
        </w:tabs>
        <w:ind w:left="720" w:hanging="360"/>
      </w:pPr>
      <w:rPr>
        <w:rFonts w:ascii="Arial" w:eastAsia="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F0BC5"/>
    <w:multiLevelType w:val="multilevel"/>
    <w:tmpl w:val="558A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D0277"/>
    <w:multiLevelType w:val="hybridMultilevel"/>
    <w:tmpl w:val="9F6C6222"/>
    <w:lvl w:ilvl="0" w:tplc="4E242144">
      <w:numFmt w:val="bullet"/>
      <w:lvlText w:val=""/>
      <w:lvlJc w:val="left"/>
      <w:pPr>
        <w:ind w:left="461" w:hanging="361"/>
      </w:pPr>
      <w:rPr>
        <w:rFonts w:ascii="Symbol" w:eastAsia="Symbol" w:hAnsi="Symbol" w:cs="Symbol" w:hint="default"/>
        <w:b w:val="0"/>
        <w:bCs w:val="0"/>
        <w:i w:val="0"/>
        <w:iCs w:val="0"/>
        <w:spacing w:val="0"/>
        <w:w w:val="100"/>
        <w:sz w:val="22"/>
        <w:szCs w:val="22"/>
        <w:lang w:val="en-US" w:eastAsia="en-US" w:bidi="ar-SA"/>
      </w:rPr>
    </w:lvl>
    <w:lvl w:ilvl="1" w:tplc="A516F124">
      <w:numFmt w:val="bullet"/>
      <w:lvlText w:val="•"/>
      <w:lvlJc w:val="left"/>
      <w:pPr>
        <w:ind w:left="1376" w:hanging="361"/>
      </w:pPr>
      <w:rPr>
        <w:rFonts w:hint="default"/>
        <w:lang w:val="en-US" w:eastAsia="en-US" w:bidi="ar-SA"/>
      </w:rPr>
    </w:lvl>
    <w:lvl w:ilvl="2" w:tplc="73C81890">
      <w:numFmt w:val="bullet"/>
      <w:lvlText w:val="•"/>
      <w:lvlJc w:val="left"/>
      <w:pPr>
        <w:ind w:left="2292" w:hanging="361"/>
      </w:pPr>
      <w:rPr>
        <w:rFonts w:hint="default"/>
        <w:lang w:val="en-US" w:eastAsia="en-US" w:bidi="ar-SA"/>
      </w:rPr>
    </w:lvl>
    <w:lvl w:ilvl="3" w:tplc="BBCE77FA">
      <w:numFmt w:val="bullet"/>
      <w:lvlText w:val="•"/>
      <w:lvlJc w:val="left"/>
      <w:pPr>
        <w:ind w:left="3208" w:hanging="361"/>
      </w:pPr>
      <w:rPr>
        <w:rFonts w:hint="default"/>
        <w:lang w:val="en-US" w:eastAsia="en-US" w:bidi="ar-SA"/>
      </w:rPr>
    </w:lvl>
    <w:lvl w:ilvl="4" w:tplc="32044552">
      <w:numFmt w:val="bullet"/>
      <w:lvlText w:val="•"/>
      <w:lvlJc w:val="left"/>
      <w:pPr>
        <w:ind w:left="4124" w:hanging="361"/>
      </w:pPr>
      <w:rPr>
        <w:rFonts w:hint="default"/>
        <w:lang w:val="en-US" w:eastAsia="en-US" w:bidi="ar-SA"/>
      </w:rPr>
    </w:lvl>
    <w:lvl w:ilvl="5" w:tplc="B2F02F14">
      <w:numFmt w:val="bullet"/>
      <w:lvlText w:val="•"/>
      <w:lvlJc w:val="left"/>
      <w:pPr>
        <w:ind w:left="5040" w:hanging="361"/>
      </w:pPr>
      <w:rPr>
        <w:rFonts w:hint="default"/>
        <w:lang w:val="en-US" w:eastAsia="en-US" w:bidi="ar-SA"/>
      </w:rPr>
    </w:lvl>
    <w:lvl w:ilvl="6" w:tplc="652A687E">
      <w:numFmt w:val="bullet"/>
      <w:lvlText w:val="•"/>
      <w:lvlJc w:val="left"/>
      <w:pPr>
        <w:ind w:left="5956" w:hanging="361"/>
      </w:pPr>
      <w:rPr>
        <w:rFonts w:hint="default"/>
        <w:lang w:val="en-US" w:eastAsia="en-US" w:bidi="ar-SA"/>
      </w:rPr>
    </w:lvl>
    <w:lvl w:ilvl="7" w:tplc="19843154">
      <w:numFmt w:val="bullet"/>
      <w:lvlText w:val="•"/>
      <w:lvlJc w:val="left"/>
      <w:pPr>
        <w:ind w:left="6872" w:hanging="361"/>
      </w:pPr>
      <w:rPr>
        <w:rFonts w:hint="default"/>
        <w:lang w:val="en-US" w:eastAsia="en-US" w:bidi="ar-SA"/>
      </w:rPr>
    </w:lvl>
    <w:lvl w:ilvl="8" w:tplc="CC80F29E">
      <w:numFmt w:val="bullet"/>
      <w:lvlText w:val="•"/>
      <w:lvlJc w:val="left"/>
      <w:pPr>
        <w:ind w:left="7788" w:hanging="361"/>
      </w:pPr>
      <w:rPr>
        <w:rFonts w:hint="default"/>
        <w:lang w:val="en-US" w:eastAsia="en-US" w:bidi="ar-SA"/>
      </w:rPr>
    </w:lvl>
  </w:abstractNum>
  <w:abstractNum w:abstractNumId="4" w15:restartNumberingAfterBreak="0">
    <w:nsid w:val="374044E7"/>
    <w:multiLevelType w:val="multilevel"/>
    <w:tmpl w:val="07DE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835D9"/>
    <w:multiLevelType w:val="multilevel"/>
    <w:tmpl w:val="B9E637F6"/>
    <w:lvl w:ilvl="0">
      <w:start w:val="1"/>
      <w:numFmt w:val="lowerRoman"/>
      <w:lvlText w:val="%1."/>
      <w:lvlJc w:val="left"/>
      <w:pPr>
        <w:tabs>
          <w:tab w:val="num" w:pos="720"/>
        </w:tabs>
        <w:ind w:left="720" w:hanging="360"/>
      </w:pPr>
      <w:rPr>
        <w:rFonts w:ascii="Arial" w:eastAsia="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7513D8"/>
    <w:multiLevelType w:val="multilevel"/>
    <w:tmpl w:val="F556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A7493E"/>
    <w:multiLevelType w:val="multilevel"/>
    <w:tmpl w:val="3BDC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EC0826"/>
    <w:multiLevelType w:val="multilevel"/>
    <w:tmpl w:val="98EAAEEA"/>
    <w:lvl w:ilvl="0">
      <w:start w:val="1"/>
      <w:numFmt w:val="lowerRoman"/>
      <w:lvlText w:val="%1."/>
      <w:lvlJc w:val="left"/>
      <w:pPr>
        <w:tabs>
          <w:tab w:val="num" w:pos="720"/>
        </w:tabs>
        <w:ind w:left="720" w:hanging="360"/>
      </w:pPr>
      <w:rPr>
        <w:rFonts w:ascii="Arial" w:eastAsia="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B52278"/>
    <w:multiLevelType w:val="multilevel"/>
    <w:tmpl w:val="3B28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476770">
    <w:abstractNumId w:val="3"/>
  </w:num>
  <w:num w:numId="2" w16cid:durableId="1907379976">
    <w:abstractNumId w:val="4"/>
  </w:num>
  <w:num w:numId="3" w16cid:durableId="1062143823">
    <w:abstractNumId w:val="7"/>
  </w:num>
  <w:num w:numId="4" w16cid:durableId="586504356">
    <w:abstractNumId w:val="2"/>
  </w:num>
  <w:num w:numId="5" w16cid:durableId="1676230255">
    <w:abstractNumId w:val="6"/>
  </w:num>
  <w:num w:numId="6" w16cid:durableId="1998803254">
    <w:abstractNumId w:val="9"/>
  </w:num>
  <w:num w:numId="7" w16cid:durableId="1256015093">
    <w:abstractNumId w:val="8"/>
  </w:num>
  <w:num w:numId="8" w16cid:durableId="1448543445">
    <w:abstractNumId w:val="5"/>
  </w:num>
  <w:num w:numId="9" w16cid:durableId="625893919">
    <w:abstractNumId w:val="0"/>
  </w:num>
  <w:num w:numId="10" w16cid:durableId="618924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DD"/>
    <w:rsid w:val="000230A6"/>
    <w:rsid w:val="000323C2"/>
    <w:rsid w:val="000743A6"/>
    <w:rsid w:val="000F03F8"/>
    <w:rsid w:val="0010518D"/>
    <w:rsid w:val="00121E5A"/>
    <w:rsid w:val="00164CB2"/>
    <w:rsid w:val="001B0E89"/>
    <w:rsid w:val="001D5B54"/>
    <w:rsid w:val="001F2BC7"/>
    <w:rsid w:val="00230E07"/>
    <w:rsid w:val="00256D34"/>
    <w:rsid w:val="00264069"/>
    <w:rsid w:val="002D6EDD"/>
    <w:rsid w:val="00313665"/>
    <w:rsid w:val="00387C7E"/>
    <w:rsid w:val="003948B9"/>
    <w:rsid w:val="00425F5D"/>
    <w:rsid w:val="004B42CC"/>
    <w:rsid w:val="004C0826"/>
    <w:rsid w:val="004C526E"/>
    <w:rsid w:val="004D7A86"/>
    <w:rsid w:val="00517914"/>
    <w:rsid w:val="00533B61"/>
    <w:rsid w:val="00613CA2"/>
    <w:rsid w:val="00626DCF"/>
    <w:rsid w:val="006272D9"/>
    <w:rsid w:val="00660573"/>
    <w:rsid w:val="006A70F3"/>
    <w:rsid w:val="00740208"/>
    <w:rsid w:val="007450DE"/>
    <w:rsid w:val="007C0ED1"/>
    <w:rsid w:val="007D41DB"/>
    <w:rsid w:val="00820744"/>
    <w:rsid w:val="008B6206"/>
    <w:rsid w:val="00933361"/>
    <w:rsid w:val="0093449B"/>
    <w:rsid w:val="009762CF"/>
    <w:rsid w:val="00992881"/>
    <w:rsid w:val="009C58E1"/>
    <w:rsid w:val="00A077B0"/>
    <w:rsid w:val="00A242FF"/>
    <w:rsid w:val="00A26B4A"/>
    <w:rsid w:val="00A27F94"/>
    <w:rsid w:val="00AC36C8"/>
    <w:rsid w:val="00B478B3"/>
    <w:rsid w:val="00B63E9A"/>
    <w:rsid w:val="00B66288"/>
    <w:rsid w:val="00BB0689"/>
    <w:rsid w:val="00BB75C2"/>
    <w:rsid w:val="00C273E2"/>
    <w:rsid w:val="00C825DD"/>
    <w:rsid w:val="00CB1ABB"/>
    <w:rsid w:val="00CD0A59"/>
    <w:rsid w:val="00D21B60"/>
    <w:rsid w:val="00D87D22"/>
    <w:rsid w:val="00DA278A"/>
    <w:rsid w:val="00E12DD1"/>
    <w:rsid w:val="00E97A85"/>
    <w:rsid w:val="00EA013A"/>
    <w:rsid w:val="00ED08AD"/>
    <w:rsid w:val="00ED33C0"/>
    <w:rsid w:val="00F25498"/>
    <w:rsid w:val="00F45895"/>
    <w:rsid w:val="00F561F4"/>
    <w:rsid w:val="00F6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3653"/>
  <w15:chartTrackingRefBased/>
  <w15:docId w15:val="{2CBF808B-8FA2-40DB-8A57-AB825A20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DD"/>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C82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5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5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5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5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5DD"/>
    <w:rPr>
      <w:rFonts w:eastAsiaTheme="majorEastAsia" w:cstheme="majorBidi"/>
      <w:color w:val="272727" w:themeColor="text1" w:themeTint="D8"/>
    </w:rPr>
  </w:style>
  <w:style w:type="paragraph" w:styleId="Title">
    <w:name w:val="Title"/>
    <w:basedOn w:val="Normal"/>
    <w:next w:val="Normal"/>
    <w:link w:val="TitleChar"/>
    <w:uiPriority w:val="10"/>
    <w:qFormat/>
    <w:rsid w:val="00C825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5DD"/>
    <w:pPr>
      <w:spacing w:before="160"/>
      <w:jc w:val="center"/>
    </w:pPr>
    <w:rPr>
      <w:i/>
      <w:iCs/>
      <w:color w:val="404040" w:themeColor="text1" w:themeTint="BF"/>
    </w:rPr>
  </w:style>
  <w:style w:type="character" w:customStyle="1" w:styleId="QuoteChar">
    <w:name w:val="Quote Char"/>
    <w:basedOn w:val="DefaultParagraphFont"/>
    <w:link w:val="Quote"/>
    <w:uiPriority w:val="29"/>
    <w:rsid w:val="00C825DD"/>
    <w:rPr>
      <w:i/>
      <w:iCs/>
      <w:color w:val="404040" w:themeColor="text1" w:themeTint="BF"/>
    </w:rPr>
  </w:style>
  <w:style w:type="paragraph" w:styleId="ListParagraph">
    <w:name w:val="List Paragraph"/>
    <w:basedOn w:val="Normal"/>
    <w:uiPriority w:val="1"/>
    <w:qFormat/>
    <w:rsid w:val="00C825DD"/>
    <w:pPr>
      <w:ind w:left="720"/>
      <w:contextualSpacing/>
    </w:pPr>
  </w:style>
  <w:style w:type="character" w:styleId="IntenseEmphasis">
    <w:name w:val="Intense Emphasis"/>
    <w:basedOn w:val="DefaultParagraphFont"/>
    <w:uiPriority w:val="21"/>
    <w:qFormat/>
    <w:rsid w:val="00C825DD"/>
    <w:rPr>
      <w:i/>
      <w:iCs/>
      <w:color w:val="0F4761" w:themeColor="accent1" w:themeShade="BF"/>
    </w:rPr>
  </w:style>
  <w:style w:type="paragraph" w:styleId="IntenseQuote">
    <w:name w:val="Intense Quote"/>
    <w:basedOn w:val="Normal"/>
    <w:next w:val="Normal"/>
    <w:link w:val="IntenseQuoteChar"/>
    <w:uiPriority w:val="30"/>
    <w:qFormat/>
    <w:rsid w:val="00C82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5DD"/>
    <w:rPr>
      <w:i/>
      <w:iCs/>
      <w:color w:val="0F4761" w:themeColor="accent1" w:themeShade="BF"/>
    </w:rPr>
  </w:style>
  <w:style w:type="character" w:styleId="IntenseReference">
    <w:name w:val="Intense Reference"/>
    <w:basedOn w:val="DefaultParagraphFont"/>
    <w:uiPriority w:val="32"/>
    <w:qFormat/>
    <w:rsid w:val="00C825DD"/>
    <w:rPr>
      <w:b/>
      <w:bCs/>
      <w:smallCaps/>
      <w:color w:val="0F4761" w:themeColor="accent1" w:themeShade="BF"/>
      <w:spacing w:val="5"/>
    </w:rPr>
  </w:style>
  <w:style w:type="paragraph" w:styleId="BodyText">
    <w:name w:val="Body Text"/>
    <w:basedOn w:val="Normal"/>
    <w:link w:val="BodyTextChar"/>
    <w:uiPriority w:val="1"/>
    <w:qFormat/>
    <w:rsid w:val="00C825DD"/>
    <w:pPr>
      <w:spacing w:before="80"/>
      <w:ind w:left="100"/>
    </w:pPr>
  </w:style>
  <w:style w:type="character" w:customStyle="1" w:styleId="BodyTextChar">
    <w:name w:val="Body Text Char"/>
    <w:basedOn w:val="DefaultParagraphFont"/>
    <w:link w:val="BodyText"/>
    <w:uiPriority w:val="1"/>
    <w:rsid w:val="00C825DD"/>
    <w:rPr>
      <w:rFonts w:ascii="Arial" w:eastAsia="Arial" w:hAnsi="Arial" w:cs="Arial"/>
      <w:kern w:val="0"/>
      <w:sz w:val="22"/>
      <w:szCs w:val="22"/>
      <w14:ligatures w14:val="none"/>
    </w:rPr>
  </w:style>
  <w:style w:type="paragraph" w:styleId="NormalWeb">
    <w:name w:val="Normal (Web)"/>
    <w:basedOn w:val="Normal"/>
    <w:uiPriority w:val="99"/>
    <w:semiHidden/>
    <w:unhideWhenUsed/>
    <w:rsid w:val="00626DCF"/>
    <w:rPr>
      <w:rFonts w:ascii="Times New Roman" w:hAnsi="Times New Roman" w:cs="Times New Roman"/>
      <w:sz w:val="24"/>
      <w:szCs w:val="24"/>
    </w:rPr>
  </w:style>
  <w:style w:type="paragraph" w:styleId="Revision">
    <w:name w:val="Revision"/>
    <w:hidden/>
    <w:uiPriority w:val="99"/>
    <w:semiHidden/>
    <w:rsid w:val="000230A6"/>
    <w:pPr>
      <w:spacing w:after="0" w:line="240" w:lineRule="auto"/>
    </w:pPr>
    <w:rPr>
      <w:rFonts w:ascii="Arial" w:eastAsia="Arial" w:hAnsi="Arial" w:cs="Arial"/>
      <w:kern w:val="0"/>
      <w:sz w:val="22"/>
      <w:szCs w:val="22"/>
      <w14:ligatures w14:val="none"/>
    </w:rPr>
  </w:style>
  <w:style w:type="character" w:styleId="CommentReference">
    <w:name w:val="annotation reference"/>
    <w:basedOn w:val="DefaultParagraphFont"/>
    <w:uiPriority w:val="99"/>
    <w:semiHidden/>
    <w:unhideWhenUsed/>
    <w:rsid w:val="0093449B"/>
    <w:rPr>
      <w:sz w:val="16"/>
      <w:szCs w:val="16"/>
    </w:rPr>
  </w:style>
  <w:style w:type="paragraph" w:styleId="CommentText">
    <w:name w:val="annotation text"/>
    <w:basedOn w:val="Normal"/>
    <w:link w:val="CommentTextChar"/>
    <w:uiPriority w:val="99"/>
    <w:unhideWhenUsed/>
    <w:rsid w:val="0093449B"/>
    <w:rPr>
      <w:sz w:val="20"/>
      <w:szCs w:val="20"/>
    </w:rPr>
  </w:style>
  <w:style w:type="character" w:customStyle="1" w:styleId="CommentTextChar">
    <w:name w:val="Comment Text Char"/>
    <w:basedOn w:val="DefaultParagraphFont"/>
    <w:link w:val="CommentText"/>
    <w:uiPriority w:val="99"/>
    <w:rsid w:val="0093449B"/>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3449B"/>
    <w:rPr>
      <w:b/>
      <w:bCs/>
    </w:rPr>
  </w:style>
  <w:style w:type="character" w:customStyle="1" w:styleId="CommentSubjectChar">
    <w:name w:val="Comment Subject Char"/>
    <w:basedOn w:val="CommentTextChar"/>
    <w:link w:val="CommentSubject"/>
    <w:uiPriority w:val="99"/>
    <w:semiHidden/>
    <w:rsid w:val="0093449B"/>
    <w:rPr>
      <w:rFonts w:ascii="Arial" w:eastAsia="Arial" w:hAnsi="Arial" w:cs="Arial"/>
      <w:b/>
      <w:bCs/>
      <w:kern w:val="0"/>
      <w:sz w:val="20"/>
      <w:szCs w:val="20"/>
      <w14:ligatures w14:val="none"/>
    </w:rPr>
  </w:style>
  <w:style w:type="character" w:styleId="Hyperlink">
    <w:name w:val="Hyperlink"/>
    <w:basedOn w:val="DefaultParagraphFont"/>
    <w:rsid w:val="00DA27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47021">
      <w:bodyDiv w:val="1"/>
      <w:marLeft w:val="0"/>
      <w:marRight w:val="0"/>
      <w:marTop w:val="0"/>
      <w:marBottom w:val="0"/>
      <w:divBdr>
        <w:top w:val="none" w:sz="0" w:space="0" w:color="auto"/>
        <w:left w:val="none" w:sz="0" w:space="0" w:color="auto"/>
        <w:bottom w:val="none" w:sz="0" w:space="0" w:color="auto"/>
        <w:right w:val="none" w:sz="0" w:space="0" w:color="auto"/>
      </w:divBdr>
    </w:div>
    <w:div w:id="484973648">
      <w:bodyDiv w:val="1"/>
      <w:marLeft w:val="0"/>
      <w:marRight w:val="0"/>
      <w:marTop w:val="0"/>
      <w:marBottom w:val="0"/>
      <w:divBdr>
        <w:top w:val="none" w:sz="0" w:space="0" w:color="auto"/>
        <w:left w:val="none" w:sz="0" w:space="0" w:color="auto"/>
        <w:bottom w:val="none" w:sz="0" w:space="0" w:color="auto"/>
        <w:right w:val="none" w:sz="0" w:space="0" w:color="auto"/>
      </w:divBdr>
    </w:div>
    <w:div w:id="1019355066">
      <w:bodyDiv w:val="1"/>
      <w:marLeft w:val="0"/>
      <w:marRight w:val="0"/>
      <w:marTop w:val="0"/>
      <w:marBottom w:val="0"/>
      <w:divBdr>
        <w:top w:val="none" w:sz="0" w:space="0" w:color="auto"/>
        <w:left w:val="none" w:sz="0" w:space="0" w:color="auto"/>
        <w:bottom w:val="none" w:sz="0" w:space="0" w:color="auto"/>
        <w:right w:val="none" w:sz="0" w:space="0" w:color="auto"/>
      </w:divBdr>
    </w:div>
    <w:div w:id="1021854913">
      <w:bodyDiv w:val="1"/>
      <w:marLeft w:val="0"/>
      <w:marRight w:val="0"/>
      <w:marTop w:val="0"/>
      <w:marBottom w:val="0"/>
      <w:divBdr>
        <w:top w:val="none" w:sz="0" w:space="0" w:color="auto"/>
        <w:left w:val="none" w:sz="0" w:space="0" w:color="auto"/>
        <w:bottom w:val="none" w:sz="0" w:space="0" w:color="auto"/>
        <w:right w:val="none" w:sz="0" w:space="0" w:color="auto"/>
      </w:divBdr>
    </w:div>
    <w:div w:id="1118598854">
      <w:bodyDiv w:val="1"/>
      <w:marLeft w:val="0"/>
      <w:marRight w:val="0"/>
      <w:marTop w:val="0"/>
      <w:marBottom w:val="0"/>
      <w:divBdr>
        <w:top w:val="none" w:sz="0" w:space="0" w:color="auto"/>
        <w:left w:val="none" w:sz="0" w:space="0" w:color="auto"/>
        <w:bottom w:val="none" w:sz="0" w:space="0" w:color="auto"/>
        <w:right w:val="none" w:sz="0" w:space="0" w:color="auto"/>
      </w:divBdr>
    </w:div>
    <w:div w:id="124414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Roark, Kasie</dc:creator>
  <cp:keywords/>
  <dc:description/>
  <cp:lastModifiedBy>Nelson-Reed, Vanessa</cp:lastModifiedBy>
  <cp:revision>2</cp:revision>
  <dcterms:created xsi:type="dcterms:W3CDTF">2026-08-31T17:21:00Z</dcterms:created>
  <dcterms:modified xsi:type="dcterms:W3CDTF">2026-08-31T17:21:00Z</dcterms:modified>
</cp:coreProperties>
</file>